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7D33" w14:textId="77777777" w:rsidR="00C07B92" w:rsidRPr="006957F1" w:rsidRDefault="003F70C1" w:rsidP="00970A47">
      <w:pPr>
        <w:pBdr>
          <w:top w:val="triple" w:sz="4" w:space="1" w:color="4472C4" w:themeColor="accent1"/>
          <w:left w:val="triple" w:sz="4" w:space="4" w:color="4472C4" w:themeColor="accent1"/>
          <w:bottom w:val="triple" w:sz="4" w:space="1" w:color="4472C4" w:themeColor="accent1"/>
          <w:right w:val="triple" w:sz="4" w:space="4" w:color="4472C4" w:themeColor="accent1"/>
        </w:pBdr>
        <w:spacing w:before="120"/>
        <w:jc w:val="center"/>
        <w:rPr>
          <w:sz w:val="32"/>
          <w:szCs w:val="32"/>
          <w:lang w:val="nl-BE"/>
        </w:rPr>
      </w:pPr>
      <w:r w:rsidRPr="006957F1">
        <w:rPr>
          <w:sz w:val="32"/>
          <w:szCs w:val="32"/>
          <w:lang w:val="nl-BE"/>
        </w:rPr>
        <w:t xml:space="preserve">Typologie van AML-risico's - </w:t>
      </w:r>
      <w:proofErr w:type="gramStart"/>
      <w:r w:rsidRPr="006957F1">
        <w:rPr>
          <w:sz w:val="32"/>
          <w:szCs w:val="32"/>
          <w:lang w:val="nl-BE"/>
        </w:rPr>
        <w:t>Voetbal :</w:t>
      </w:r>
      <w:proofErr w:type="gramEnd"/>
    </w:p>
    <w:p w14:paraId="45EAF2C1" w14:textId="77777777" w:rsidR="00C07B92" w:rsidRPr="006957F1" w:rsidRDefault="003F70C1"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proofErr w:type="gramStart"/>
      <w:r w:rsidRPr="006957F1">
        <w:rPr>
          <w:color w:val="4472C4" w:themeColor="accent1"/>
          <w:sz w:val="28"/>
          <w:szCs w:val="28"/>
          <w:u w:val="single" w:color="4472C4" w:themeColor="accent1"/>
          <w:lang w:val="nl-BE"/>
        </w:rPr>
        <w:t>Bestuur :</w:t>
      </w:r>
      <w:proofErr w:type="gramEnd"/>
    </w:p>
    <w:p w14:paraId="7862B4FD" w14:textId="77777777" w:rsidR="00F04BF2" w:rsidRPr="006957F1" w:rsidRDefault="00F04BF2" w:rsidP="00970A47">
      <w:pPr>
        <w:pStyle w:val="Paragraphedeliste"/>
        <w:jc w:val="both"/>
        <w:rPr>
          <w:lang w:val="nl-BE"/>
        </w:rPr>
      </w:pPr>
    </w:p>
    <w:p w14:paraId="616FBF29" w14:textId="1BF52762" w:rsidR="00C07B92" w:rsidRPr="008C742A" w:rsidRDefault="003F70C1" w:rsidP="00970A47">
      <w:pPr>
        <w:pStyle w:val="Paragraphedeliste"/>
        <w:numPr>
          <w:ilvl w:val="1"/>
          <w:numId w:val="1"/>
        </w:numPr>
        <w:jc w:val="both"/>
        <w:rPr>
          <w:sz w:val="24"/>
          <w:szCs w:val="24"/>
          <w:lang w:val="nl-BE"/>
        </w:rPr>
      </w:pPr>
      <w:r w:rsidRPr="006957F1">
        <w:rPr>
          <w:sz w:val="24"/>
          <w:szCs w:val="24"/>
          <w:lang w:val="nl-BE"/>
        </w:rPr>
        <w:t xml:space="preserve">PEP: PEP in het bestuursorgaan of als aandeelhouder (verhoogde waakzaamheid + </w:t>
      </w:r>
      <w:r w:rsidR="00575A49" w:rsidRPr="008C742A">
        <w:rPr>
          <w:sz w:val="24"/>
          <w:szCs w:val="24"/>
          <w:lang w:val="nl-BE"/>
        </w:rPr>
        <w:t>oorsprong</w:t>
      </w:r>
      <w:r w:rsidRPr="008C742A">
        <w:rPr>
          <w:sz w:val="24"/>
          <w:szCs w:val="24"/>
          <w:lang w:val="nl-BE"/>
        </w:rPr>
        <w:t xml:space="preserve"> van </w:t>
      </w:r>
      <w:r w:rsidR="00D97880" w:rsidRPr="008C742A">
        <w:rPr>
          <w:sz w:val="24"/>
          <w:szCs w:val="24"/>
          <w:lang w:val="nl-BE"/>
        </w:rPr>
        <w:t>het vermogen</w:t>
      </w:r>
      <w:r w:rsidRPr="008C742A">
        <w:rPr>
          <w:sz w:val="24"/>
          <w:szCs w:val="24"/>
          <w:lang w:val="nl-BE"/>
        </w:rPr>
        <w:t>)</w:t>
      </w:r>
    </w:p>
    <w:p w14:paraId="4F107F7E" w14:textId="696D1EA4" w:rsidR="001B24AE" w:rsidRPr="008C742A" w:rsidRDefault="001B24AE" w:rsidP="00970A47">
      <w:pPr>
        <w:pStyle w:val="Paragraphedeliste"/>
        <w:numPr>
          <w:ilvl w:val="1"/>
          <w:numId w:val="1"/>
        </w:numPr>
        <w:jc w:val="both"/>
        <w:rPr>
          <w:sz w:val="24"/>
          <w:szCs w:val="24"/>
          <w:lang w:val="nl-BE"/>
        </w:rPr>
      </w:pPr>
      <w:r w:rsidRPr="008C742A">
        <w:rPr>
          <w:sz w:val="24"/>
          <w:szCs w:val="24"/>
          <w:lang w:val="nl-BE"/>
        </w:rPr>
        <w:t>Sectorrisico: bestuurders actief in risicosectoren</w:t>
      </w:r>
    </w:p>
    <w:p w14:paraId="423F4D4C" w14:textId="26043C37" w:rsidR="001B24AE" w:rsidRPr="008C742A" w:rsidRDefault="001B24AE" w:rsidP="00970A47">
      <w:pPr>
        <w:pStyle w:val="Paragraphedeliste"/>
        <w:numPr>
          <w:ilvl w:val="1"/>
          <w:numId w:val="1"/>
        </w:numPr>
        <w:jc w:val="both"/>
        <w:rPr>
          <w:sz w:val="24"/>
          <w:szCs w:val="24"/>
          <w:lang w:val="nl-BE"/>
        </w:rPr>
      </w:pPr>
      <w:r w:rsidRPr="008C742A">
        <w:rPr>
          <w:sz w:val="24"/>
          <w:szCs w:val="24"/>
          <w:lang w:val="nl-BE"/>
        </w:rPr>
        <w:t>Geografisch risico: bestuurders of aandeelhouders gedomicilieerd in risicolanden</w:t>
      </w:r>
    </w:p>
    <w:p w14:paraId="38CFB851" w14:textId="77777777" w:rsidR="00F04BF2" w:rsidRPr="006957F1" w:rsidRDefault="00F04BF2" w:rsidP="00970A47">
      <w:pPr>
        <w:pStyle w:val="Paragraphedeliste"/>
        <w:ind w:left="1440"/>
        <w:jc w:val="both"/>
        <w:rPr>
          <w:lang w:val="nl-BE"/>
        </w:rPr>
      </w:pPr>
    </w:p>
    <w:p w14:paraId="17057B10" w14:textId="77777777" w:rsidR="00C07B92" w:rsidRPr="006957F1" w:rsidRDefault="003F70C1"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proofErr w:type="gramStart"/>
      <w:r w:rsidRPr="006957F1">
        <w:rPr>
          <w:color w:val="4472C4" w:themeColor="accent1"/>
          <w:sz w:val="28"/>
          <w:szCs w:val="28"/>
          <w:u w:val="single" w:color="4472C4" w:themeColor="accent1"/>
          <w:lang w:val="nl-BE"/>
        </w:rPr>
        <w:t>Discontinuïteit :</w:t>
      </w:r>
      <w:proofErr w:type="gramEnd"/>
    </w:p>
    <w:p w14:paraId="681E128F" w14:textId="77777777" w:rsidR="00F04BF2" w:rsidRPr="006957F1" w:rsidRDefault="00F04BF2" w:rsidP="00970A47">
      <w:pPr>
        <w:pStyle w:val="Paragraphedeliste"/>
        <w:jc w:val="both"/>
        <w:rPr>
          <w:lang w:val="nl-BE"/>
        </w:rPr>
      </w:pPr>
    </w:p>
    <w:p w14:paraId="484ECF42" w14:textId="50D8889B" w:rsidR="00C07B92" w:rsidRPr="008C742A" w:rsidRDefault="00A94056" w:rsidP="00970A47">
      <w:pPr>
        <w:pStyle w:val="Paragraphedeliste"/>
        <w:numPr>
          <w:ilvl w:val="1"/>
          <w:numId w:val="1"/>
        </w:numPr>
        <w:jc w:val="both"/>
        <w:rPr>
          <w:sz w:val="24"/>
          <w:szCs w:val="24"/>
          <w:lang w:val="nl-BE"/>
        </w:rPr>
      </w:pPr>
      <w:r w:rsidRPr="006957F1">
        <w:rPr>
          <w:sz w:val="24"/>
          <w:szCs w:val="24"/>
          <w:lang w:val="nl-BE"/>
        </w:rPr>
        <w:t>Aanzienli</w:t>
      </w:r>
      <w:r w:rsidR="001C7A3E" w:rsidRPr="006957F1">
        <w:rPr>
          <w:sz w:val="24"/>
          <w:szCs w:val="24"/>
          <w:lang w:val="nl-BE"/>
        </w:rPr>
        <w:t>jk</w:t>
      </w:r>
      <w:r w:rsidR="003F70C1" w:rsidRPr="006957F1">
        <w:rPr>
          <w:sz w:val="24"/>
          <w:szCs w:val="24"/>
          <w:lang w:val="nl-BE"/>
        </w:rPr>
        <w:t xml:space="preserve"> verlies: risico van discontinuïteit (</w:t>
      </w:r>
      <w:r w:rsidR="001313E2" w:rsidRPr="006957F1">
        <w:rPr>
          <w:sz w:val="24"/>
          <w:szCs w:val="24"/>
          <w:lang w:val="nl-BE"/>
        </w:rPr>
        <w:t>W</w:t>
      </w:r>
      <w:r w:rsidR="005117CC" w:rsidRPr="006957F1">
        <w:rPr>
          <w:sz w:val="24"/>
          <w:szCs w:val="24"/>
          <w:lang w:val="nl-BE"/>
        </w:rPr>
        <w:t>ER</w:t>
      </w:r>
      <w:r w:rsidR="003F70C1" w:rsidRPr="006957F1">
        <w:rPr>
          <w:sz w:val="24"/>
          <w:szCs w:val="24"/>
          <w:lang w:val="nl-BE"/>
        </w:rPr>
        <w:t xml:space="preserve">-procedure, </w:t>
      </w:r>
      <w:r w:rsidR="005117CC" w:rsidRPr="006957F1">
        <w:rPr>
          <w:sz w:val="24"/>
          <w:szCs w:val="24"/>
          <w:lang w:val="nl-BE"/>
        </w:rPr>
        <w:t>WVV</w:t>
      </w:r>
      <w:r w:rsidR="003F70C1" w:rsidRPr="006957F1">
        <w:rPr>
          <w:sz w:val="24"/>
          <w:szCs w:val="24"/>
          <w:lang w:val="nl-BE"/>
        </w:rPr>
        <w:t>-</w:t>
      </w:r>
      <w:r w:rsidR="003F70C1" w:rsidRPr="008C742A">
        <w:rPr>
          <w:sz w:val="24"/>
          <w:szCs w:val="24"/>
          <w:lang w:val="nl-BE"/>
        </w:rPr>
        <w:t>alarm</w:t>
      </w:r>
      <w:r w:rsidR="00E40200" w:rsidRPr="008C742A">
        <w:rPr>
          <w:sz w:val="24"/>
          <w:szCs w:val="24"/>
          <w:lang w:val="nl-BE"/>
        </w:rPr>
        <w:t>bel</w:t>
      </w:r>
      <w:r w:rsidR="003F70C1" w:rsidRPr="008C742A">
        <w:rPr>
          <w:sz w:val="24"/>
          <w:szCs w:val="24"/>
          <w:lang w:val="nl-BE"/>
        </w:rPr>
        <w:t xml:space="preserve">procedure, </w:t>
      </w:r>
      <w:r w:rsidR="005117CC" w:rsidRPr="008C742A">
        <w:rPr>
          <w:sz w:val="24"/>
          <w:szCs w:val="24"/>
          <w:lang w:val="nl-BE"/>
        </w:rPr>
        <w:t xml:space="preserve">procedure </w:t>
      </w:r>
      <w:r w:rsidR="003F70C1" w:rsidRPr="008C742A">
        <w:rPr>
          <w:sz w:val="24"/>
          <w:szCs w:val="24"/>
          <w:lang w:val="nl-BE"/>
        </w:rPr>
        <w:t xml:space="preserve">ISA 570, </w:t>
      </w:r>
      <w:r w:rsidR="00326D4F" w:rsidRPr="008C742A">
        <w:rPr>
          <w:sz w:val="24"/>
          <w:szCs w:val="24"/>
          <w:lang w:val="nl-BE"/>
        </w:rPr>
        <w:t>comfort letter</w:t>
      </w:r>
      <w:r w:rsidR="003F70C1" w:rsidRPr="008C742A">
        <w:rPr>
          <w:sz w:val="24"/>
          <w:szCs w:val="24"/>
          <w:lang w:val="nl-BE"/>
        </w:rPr>
        <w:t xml:space="preserve">, vermelding in </w:t>
      </w:r>
      <w:r w:rsidR="00A176B0" w:rsidRPr="008C742A">
        <w:rPr>
          <w:sz w:val="24"/>
          <w:szCs w:val="24"/>
          <w:lang w:val="nl-BE"/>
        </w:rPr>
        <w:t>jaar</w:t>
      </w:r>
      <w:r w:rsidR="003F70C1" w:rsidRPr="008C742A">
        <w:rPr>
          <w:sz w:val="24"/>
          <w:szCs w:val="24"/>
          <w:lang w:val="nl-BE"/>
        </w:rPr>
        <w:t xml:space="preserve">verslag, keuze van </w:t>
      </w:r>
      <w:r w:rsidR="00A176B0" w:rsidRPr="008C742A">
        <w:rPr>
          <w:sz w:val="24"/>
          <w:szCs w:val="24"/>
          <w:lang w:val="nl-BE"/>
        </w:rPr>
        <w:t>oordeel</w:t>
      </w:r>
      <w:r w:rsidR="003F70C1" w:rsidRPr="008C742A">
        <w:rPr>
          <w:sz w:val="24"/>
          <w:szCs w:val="24"/>
          <w:lang w:val="nl-BE"/>
        </w:rPr>
        <w:t>)</w:t>
      </w:r>
    </w:p>
    <w:p w14:paraId="562BDF9A" w14:textId="6A198CC7" w:rsidR="001B24AE" w:rsidRPr="008C742A" w:rsidRDefault="001B24AE" w:rsidP="00970A47">
      <w:pPr>
        <w:pStyle w:val="Paragraphedeliste"/>
        <w:numPr>
          <w:ilvl w:val="1"/>
          <w:numId w:val="1"/>
        </w:numPr>
        <w:jc w:val="both"/>
        <w:rPr>
          <w:sz w:val="24"/>
          <w:szCs w:val="24"/>
          <w:lang w:val="nl-BE"/>
        </w:rPr>
      </w:pPr>
      <w:r w:rsidRPr="008C742A">
        <w:rPr>
          <w:sz w:val="24"/>
          <w:szCs w:val="24"/>
          <w:lang w:val="nl-BE"/>
        </w:rPr>
        <w:t>Inkomende geldstromen na verliezen</w:t>
      </w:r>
    </w:p>
    <w:p w14:paraId="73F14049" w14:textId="77777777" w:rsidR="00F04BF2" w:rsidRPr="006957F1" w:rsidRDefault="00F04BF2" w:rsidP="00970A47">
      <w:pPr>
        <w:pStyle w:val="Paragraphedeliste"/>
        <w:ind w:left="1440"/>
        <w:jc w:val="both"/>
        <w:rPr>
          <w:lang w:val="nl-BE"/>
        </w:rPr>
      </w:pPr>
    </w:p>
    <w:p w14:paraId="1271E488" w14:textId="1D8364EE" w:rsidR="00C07B92" w:rsidRPr="006957F1" w:rsidRDefault="007B2A49"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proofErr w:type="gramStart"/>
      <w:r w:rsidRPr="006957F1">
        <w:rPr>
          <w:color w:val="4472C4" w:themeColor="accent1"/>
          <w:sz w:val="28"/>
          <w:szCs w:val="28"/>
          <w:u w:val="single" w:color="4472C4" w:themeColor="accent1"/>
          <w:lang w:val="nl-BE"/>
        </w:rPr>
        <w:t>Ontvangsten</w:t>
      </w:r>
      <w:r w:rsidR="003F70C1" w:rsidRPr="006957F1">
        <w:rPr>
          <w:color w:val="4472C4" w:themeColor="accent1"/>
          <w:sz w:val="28"/>
          <w:szCs w:val="28"/>
          <w:u w:val="single" w:color="4472C4" w:themeColor="accent1"/>
          <w:lang w:val="nl-BE"/>
        </w:rPr>
        <w:t xml:space="preserve"> :</w:t>
      </w:r>
      <w:proofErr w:type="gramEnd"/>
      <w:r w:rsidR="003F70C1" w:rsidRPr="006957F1">
        <w:rPr>
          <w:color w:val="4472C4" w:themeColor="accent1"/>
          <w:sz w:val="28"/>
          <w:szCs w:val="28"/>
          <w:u w:val="single" w:color="4472C4" w:themeColor="accent1"/>
          <w:lang w:val="nl-BE"/>
        </w:rPr>
        <w:t xml:space="preserve"> </w:t>
      </w:r>
    </w:p>
    <w:p w14:paraId="636B4EDE" w14:textId="77777777" w:rsidR="00F04BF2" w:rsidRPr="006957F1" w:rsidRDefault="00F04BF2" w:rsidP="00970A47">
      <w:pPr>
        <w:pStyle w:val="Paragraphedeliste"/>
        <w:jc w:val="both"/>
        <w:rPr>
          <w:lang w:val="nl-BE"/>
        </w:rPr>
      </w:pPr>
    </w:p>
    <w:p w14:paraId="3658E8CF" w14:textId="12D073EA" w:rsidR="00C07B92" w:rsidRPr="008C742A" w:rsidRDefault="003F70C1" w:rsidP="00970A47">
      <w:pPr>
        <w:pStyle w:val="Paragraphedeliste"/>
        <w:numPr>
          <w:ilvl w:val="1"/>
          <w:numId w:val="1"/>
        </w:numPr>
        <w:jc w:val="both"/>
        <w:rPr>
          <w:sz w:val="24"/>
          <w:szCs w:val="24"/>
          <w:lang w:val="nl-BE"/>
        </w:rPr>
      </w:pPr>
      <w:r w:rsidRPr="008C742A">
        <w:rPr>
          <w:sz w:val="24"/>
          <w:szCs w:val="24"/>
          <w:lang w:val="nl-BE"/>
        </w:rPr>
        <w:t>Ticketing: risico op fraude (ve</w:t>
      </w:r>
      <w:r w:rsidR="002265E3" w:rsidRPr="008C742A">
        <w:rPr>
          <w:sz w:val="24"/>
          <w:szCs w:val="24"/>
          <w:lang w:val="nl-BE"/>
        </w:rPr>
        <w:t>le</w:t>
      </w:r>
      <w:r w:rsidRPr="008C742A">
        <w:rPr>
          <w:sz w:val="24"/>
          <w:szCs w:val="24"/>
          <w:lang w:val="nl-BE"/>
        </w:rPr>
        <w:t xml:space="preserve"> </w:t>
      </w:r>
      <w:r w:rsidR="002265E3" w:rsidRPr="008C742A">
        <w:rPr>
          <w:sz w:val="24"/>
          <w:szCs w:val="24"/>
          <w:lang w:val="nl-BE"/>
        </w:rPr>
        <w:t>liquide middelen</w:t>
      </w:r>
      <w:r w:rsidRPr="008C742A">
        <w:rPr>
          <w:sz w:val="24"/>
          <w:szCs w:val="24"/>
          <w:lang w:val="nl-BE"/>
        </w:rPr>
        <w:t>)</w:t>
      </w:r>
    </w:p>
    <w:p w14:paraId="2D0A86EE" w14:textId="730BDDFF" w:rsidR="001B24AE" w:rsidRPr="008C742A" w:rsidRDefault="001B24AE" w:rsidP="00970A47">
      <w:pPr>
        <w:pStyle w:val="Paragraphedeliste"/>
        <w:numPr>
          <w:ilvl w:val="1"/>
          <w:numId w:val="1"/>
        </w:numPr>
        <w:jc w:val="both"/>
        <w:rPr>
          <w:sz w:val="24"/>
          <w:szCs w:val="24"/>
          <w:lang w:val="nl-BE"/>
        </w:rPr>
      </w:pPr>
      <w:r w:rsidRPr="008C742A">
        <w:rPr>
          <w:sz w:val="24"/>
          <w:szCs w:val="24"/>
          <w:lang w:val="nl-BE"/>
        </w:rPr>
        <w:t>Cantine: veel contant geld</w:t>
      </w:r>
    </w:p>
    <w:p w14:paraId="61E9D66D" w14:textId="7EED6777" w:rsidR="00C07B92" w:rsidRPr="009D7883" w:rsidRDefault="007B6D00" w:rsidP="009D7883">
      <w:pPr>
        <w:pStyle w:val="Paragraphedeliste"/>
        <w:numPr>
          <w:ilvl w:val="1"/>
          <w:numId w:val="1"/>
        </w:numPr>
        <w:jc w:val="both"/>
        <w:rPr>
          <w:sz w:val="24"/>
          <w:szCs w:val="24"/>
          <w:lang w:val="nl-BE"/>
        </w:rPr>
      </w:pPr>
      <w:r w:rsidRPr="008C742A">
        <w:rPr>
          <w:sz w:val="24"/>
          <w:szCs w:val="24"/>
          <w:lang w:val="nl-BE"/>
        </w:rPr>
        <w:t>T</w:t>
      </w:r>
      <w:r w:rsidR="003F70C1" w:rsidRPr="008C742A">
        <w:rPr>
          <w:sz w:val="24"/>
          <w:szCs w:val="24"/>
          <w:lang w:val="nl-BE"/>
        </w:rPr>
        <w:t>ransfers</w:t>
      </w:r>
      <w:r w:rsidRPr="008C742A">
        <w:rPr>
          <w:sz w:val="24"/>
          <w:szCs w:val="24"/>
          <w:lang w:val="nl-BE"/>
        </w:rPr>
        <w:t xml:space="preserve"> van spelers</w:t>
      </w:r>
      <w:r w:rsidR="003F70C1" w:rsidRPr="008C742A">
        <w:rPr>
          <w:sz w:val="24"/>
          <w:szCs w:val="24"/>
          <w:lang w:val="nl-BE"/>
        </w:rPr>
        <w:t>: geheime commissie</w:t>
      </w:r>
      <w:r w:rsidR="00830771" w:rsidRPr="008C742A">
        <w:rPr>
          <w:sz w:val="24"/>
          <w:szCs w:val="24"/>
          <w:lang w:val="nl-BE"/>
        </w:rPr>
        <w:t>lonen</w:t>
      </w:r>
      <w:r w:rsidR="003F70C1" w:rsidRPr="008C742A">
        <w:rPr>
          <w:sz w:val="24"/>
          <w:szCs w:val="24"/>
          <w:lang w:val="nl-BE"/>
        </w:rPr>
        <w:t xml:space="preserve"> </w:t>
      </w:r>
      <w:r w:rsidR="003F70C1" w:rsidRPr="006957F1">
        <w:rPr>
          <w:sz w:val="24"/>
          <w:szCs w:val="24"/>
          <w:lang w:val="nl-BE"/>
        </w:rPr>
        <w:t>voor spelersmakelaars</w:t>
      </w:r>
    </w:p>
    <w:p w14:paraId="5143E1E1" w14:textId="77777777" w:rsidR="00F04BF2" w:rsidRPr="006957F1" w:rsidRDefault="00F04BF2" w:rsidP="00970A47">
      <w:pPr>
        <w:pStyle w:val="Paragraphedeliste"/>
        <w:ind w:left="1440"/>
        <w:jc w:val="both"/>
        <w:rPr>
          <w:sz w:val="24"/>
          <w:szCs w:val="24"/>
          <w:lang w:val="nl-BE"/>
        </w:rPr>
      </w:pPr>
    </w:p>
    <w:p w14:paraId="62D407CF" w14:textId="43B18E1F" w:rsidR="00C07B92" w:rsidRPr="006957F1" w:rsidRDefault="00D076BD" w:rsidP="00970A47">
      <w:pPr>
        <w:pStyle w:val="Paragraphedeliste"/>
        <w:numPr>
          <w:ilvl w:val="0"/>
          <w:numId w:val="1"/>
        </w:numPr>
        <w:spacing w:before="240"/>
        <w:ind w:left="714" w:hanging="357"/>
        <w:jc w:val="both"/>
        <w:rPr>
          <w:lang w:val="nl-BE"/>
        </w:rPr>
      </w:pPr>
      <w:proofErr w:type="gramStart"/>
      <w:r w:rsidRPr="006957F1">
        <w:rPr>
          <w:color w:val="4472C4" w:themeColor="accent1"/>
          <w:sz w:val="28"/>
          <w:szCs w:val="28"/>
          <w:u w:val="single" w:color="4472C4" w:themeColor="accent1"/>
          <w:lang w:val="nl-BE"/>
        </w:rPr>
        <w:t>Aan</w:t>
      </w:r>
      <w:r w:rsidR="003F70C1" w:rsidRPr="006957F1">
        <w:rPr>
          <w:color w:val="4472C4" w:themeColor="accent1"/>
          <w:sz w:val="28"/>
          <w:szCs w:val="28"/>
          <w:u w:val="single" w:color="4472C4" w:themeColor="accent1"/>
          <w:lang w:val="nl-BE"/>
        </w:rPr>
        <w:t>koop :</w:t>
      </w:r>
      <w:proofErr w:type="gramEnd"/>
    </w:p>
    <w:p w14:paraId="2DB7840D" w14:textId="77777777" w:rsidR="00F04BF2" w:rsidRPr="006957F1" w:rsidRDefault="00F04BF2" w:rsidP="00970A47">
      <w:pPr>
        <w:pStyle w:val="Paragraphedeliste"/>
        <w:jc w:val="both"/>
        <w:rPr>
          <w:lang w:val="nl-BE"/>
        </w:rPr>
      </w:pPr>
    </w:p>
    <w:p w14:paraId="7B3C85D5" w14:textId="08DDA33E" w:rsidR="00C07B92" w:rsidRPr="006957F1" w:rsidRDefault="003F70C1" w:rsidP="00970A47">
      <w:pPr>
        <w:pStyle w:val="Paragraphedeliste"/>
        <w:numPr>
          <w:ilvl w:val="1"/>
          <w:numId w:val="1"/>
        </w:numPr>
        <w:jc w:val="both"/>
        <w:rPr>
          <w:sz w:val="24"/>
          <w:szCs w:val="24"/>
          <w:lang w:val="nl-BE"/>
        </w:rPr>
      </w:pPr>
      <w:r w:rsidRPr="006957F1">
        <w:rPr>
          <w:sz w:val="24"/>
          <w:szCs w:val="24"/>
          <w:lang w:val="nl-BE"/>
        </w:rPr>
        <w:t>Herfacturatie van spelers</w:t>
      </w:r>
      <w:r w:rsidR="00EC53CC" w:rsidRPr="006957F1">
        <w:rPr>
          <w:sz w:val="24"/>
          <w:szCs w:val="24"/>
          <w:lang w:val="nl-BE"/>
        </w:rPr>
        <w:t>lonen</w:t>
      </w:r>
      <w:r w:rsidRPr="006957F1">
        <w:rPr>
          <w:sz w:val="24"/>
          <w:szCs w:val="24"/>
          <w:lang w:val="nl-BE"/>
        </w:rPr>
        <w:t xml:space="preserve"> door de VZW van de club</w:t>
      </w:r>
      <w:r w:rsidR="008B43E2" w:rsidRPr="006957F1">
        <w:rPr>
          <w:sz w:val="24"/>
          <w:szCs w:val="24"/>
          <w:lang w:val="nl-BE"/>
        </w:rPr>
        <w:t>: verbonden entiteit</w:t>
      </w:r>
      <w:r w:rsidR="0097600C" w:rsidRPr="006957F1">
        <w:rPr>
          <w:sz w:val="24"/>
          <w:szCs w:val="24"/>
          <w:lang w:val="nl-BE"/>
        </w:rPr>
        <w:t>en</w:t>
      </w:r>
      <w:r w:rsidR="008B43E2" w:rsidRPr="006957F1">
        <w:rPr>
          <w:sz w:val="24"/>
          <w:szCs w:val="24"/>
          <w:lang w:val="nl-BE"/>
        </w:rPr>
        <w:t xml:space="preserve"> - marktprijs</w:t>
      </w:r>
    </w:p>
    <w:p w14:paraId="520EA63C" w14:textId="59C8BEF4" w:rsidR="00C07B92" w:rsidRPr="006957F1" w:rsidRDefault="00B47A92" w:rsidP="00970A47">
      <w:pPr>
        <w:pStyle w:val="Paragraphedeliste"/>
        <w:numPr>
          <w:ilvl w:val="1"/>
          <w:numId w:val="1"/>
        </w:numPr>
        <w:jc w:val="both"/>
        <w:rPr>
          <w:sz w:val="24"/>
          <w:szCs w:val="24"/>
          <w:lang w:val="nl-BE"/>
        </w:rPr>
      </w:pPr>
      <w:r>
        <w:rPr>
          <w:sz w:val="24"/>
          <w:szCs w:val="24"/>
          <w:lang w:val="nl-BE"/>
        </w:rPr>
        <w:t>Voordeel van alle aard</w:t>
      </w:r>
      <w:r w:rsidR="003F70C1" w:rsidRPr="006957F1">
        <w:rPr>
          <w:sz w:val="24"/>
          <w:szCs w:val="24"/>
          <w:lang w:val="nl-BE"/>
        </w:rPr>
        <w:t>: gratis accommodatie - luxe</w:t>
      </w:r>
      <w:r w:rsidR="00486F0E" w:rsidRPr="006957F1">
        <w:rPr>
          <w:sz w:val="24"/>
          <w:szCs w:val="24"/>
          <w:lang w:val="nl-BE"/>
        </w:rPr>
        <w:t>voertuigen</w:t>
      </w:r>
      <w:r w:rsidR="003F70C1" w:rsidRPr="006957F1">
        <w:rPr>
          <w:sz w:val="24"/>
          <w:szCs w:val="24"/>
          <w:lang w:val="nl-BE"/>
        </w:rPr>
        <w:t xml:space="preserve"> </w:t>
      </w:r>
      <w:r w:rsidR="008B43E2" w:rsidRPr="006957F1">
        <w:rPr>
          <w:sz w:val="24"/>
          <w:szCs w:val="24"/>
          <w:lang w:val="nl-BE"/>
        </w:rPr>
        <w:t>(belastingfraude)</w:t>
      </w:r>
    </w:p>
    <w:p w14:paraId="170C38E5" w14:textId="484CD1D5" w:rsidR="00C07B92" w:rsidRPr="006957F1" w:rsidRDefault="00E90BF0" w:rsidP="00970A47">
      <w:pPr>
        <w:pStyle w:val="Paragraphedeliste"/>
        <w:numPr>
          <w:ilvl w:val="1"/>
          <w:numId w:val="1"/>
        </w:numPr>
        <w:jc w:val="both"/>
        <w:rPr>
          <w:sz w:val="24"/>
          <w:szCs w:val="24"/>
          <w:lang w:val="nl-BE"/>
        </w:rPr>
      </w:pPr>
      <w:r w:rsidRPr="006957F1">
        <w:rPr>
          <w:sz w:val="24"/>
          <w:szCs w:val="24"/>
          <w:lang w:val="nl-BE"/>
        </w:rPr>
        <w:t>Investeren in spelers of inbrengen van sponsorgelden</w:t>
      </w:r>
      <w:r w:rsidR="002A7935" w:rsidRPr="006957F1">
        <w:rPr>
          <w:sz w:val="24"/>
          <w:szCs w:val="24"/>
          <w:lang w:val="nl-BE"/>
        </w:rPr>
        <w:t xml:space="preserve">: </w:t>
      </w:r>
      <w:r w:rsidR="001A4D4C" w:rsidRPr="006957F1">
        <w:rPr>
          <w:sz w:val="24"/>
          <w:szCs w:val="24"/>
          <w:lang w:val="nl-BE"/>
        </w:rPr>
        <w:t xml:space="preserve">herkomst van </w:t>
      </w:r>
      <w:r w:rsidR="00F00A09" w:rsidRPr="006957F1">
        <w:rPr>
          <w:sz w:val="24"/>
          <w:szCs w:val="24"/>
          <w:lang w:val="nl-BE"/>
        </w:rPr>
        <w:t>de geld</w:t>
      </w:r>
      <w:r w:rsidR="001A4D4C" w:rsidRPr="006957F1">
        <w:rPr>
          <w:sz w:val="24"/>
          <w:szCs w:val="24"/>
          <w:lang w:val="nl-BE"/>
        </w:rPr>
        <w:t>middelen (</w:t>
      </w:r>
      <w:r w:rsidR="00865AAA" w:rsidRPr="006957F1">
        <w:rPr>
          <w:sz w:val="24"/>
          <w:szCs w:val="24"/>
          <w:lang w:val="nl-BE"/>
        </w:rPr>
        <w:t>wanneer in een later stadium de investeerder geldt onttrekt van de club, dan beschikt investeerder over legale inkomsten</w:t>
      </w:r>
      <w:r w:rsidR="007058D6" w:rsidRPr="006957F1">
        <w:rPr>
          <w:sz w:val="24"/>
          <w:szCs w:val="24"/>
          <w:lang w:val="nl-BE"/>
        </w:rPr>
        <w:t>)</w:t>
      </w:r>
    </w:p>
    <w:p w14:paraId="187F582C" w14:textId="74CEC15E" w:rsidR="009476E2" w:rsidRPr="006957F1" w:rsidRDefault="009476E2" w:rsidP="00970A47">
      <w:pPr>
        <w:pStyle w:val="Paragraphedeliste"/>
        <w:numPr>
          <w:ilvl w:val="1"/>
          <w:numId w:val="1"/>
        </w:numPr>
        <w:jc w:val="both"/>
        <w:rPr>
          <w:sz w:val="24"/>
          <w:szCs w:val="24"/>
          <w:lang w:val="nl-BE"/>
        </w:rPr>
      </w:pPr>
      <w:r w:rsidRPr="006957F1">
        <w:rPr>
          <w:sz w:val="24"/>
          <w:szCs w:val="24"/>
          <w:lang w:val="nl-BE"/>
        </w:rPr>
        <w:t xml:space="preserve">Valse facturen </w:t>
      </w:r>
      <w:r w:rsidRPr="008C742A">
        <w:rPr>
          <w:sz w:val="24"/>
          <w:szCs w:val="24"/>
          <w:lang w:val="nl-BE"/>
        </w:rPr>
        <w:t xml:space="preserve">sturen </w:t>
      </w:r>
      <w:r w:rsidR="001B0901" w:rsidRPr="008C742A">
        <w:rPr>
          <w:sz w:val="24"/>
          <w:szCs w:val="24"/>
          <w:lang w:val="nl-BE"/>
        </w:rPr>
        <w:t>naar</w:t>
      </w:r>
      <w:r w:rsidRPr="008C742A">
        <w:rPr>
          <w:sz w:val="24"/>
          <w:szCs w:val="24"/>
          <w:lang w:val="nl-BE"/>
        </w:rPr>
        <w:t xml:space="preserve"> de club</w:t>
      </w:r>
      <w:r w:rsidR="001B24AE" w:rsidRPr="008C742A">
        <w:rPr>
          <w:sz w:val="24"/>
          <w:szCs w:val="24"/>
          <w:lang w:val="nl-BE"/>
        </w:rPr>
        <w:t xml:space="preserve"> (Facturen zonder economische rechtmatigheid)</w:t>
      </w:r>
    </w:p>
    <w:p w14:paraId="63915229" w14:textId="77777777" w:rsidR="00E53F56" w:rsidRPr="006957F1" w:rsidRDefault="003F70C1" w:rsidP="00970A47">
      <w:pPr>
        <w:pStyle w:val="Paragraphedeliste"/>
        <w:numPr>
          <w:ilvl w:val="1"/>
          <w:numId w:val="1"/>
        </w:numPr>
        <w:jc w:val="both"/>
        <w:rPr>
          <w:sz w:val="24"/>
          <w:szCs w:val="24"/>
          <w:lang w:val="nl-BE"/>
        </w:rPr>
      </w:pPr>
      <w:r w:rsidRPr="006957F1">
        <w:rPr>
          <w:sz w:val="24"/>
          <w:szCs w:val="24"/>
          <w:lang w:val="nl-BE"/>
        </w:rPr>
        <w:t xml:space="preserve">De waarde van een voetballer </w:t>
      </w:r>
      <w:r w:rsidR="004F47E4" w:rsidRPr="006957F1">
        <w:rPr>
          <w:sz w:val="24"/>
          <w:szCs w:val="24"/>
          <w:lang w:val="nl-BE"/>
        </w:rPr>
        <w:t>is niet objectief te bepalen. Door de prijs kunstmatig te verhogen, kunnen (aanzienlijke) bedragen witgewassen worden. Niet enkel makelaars, maar ook coaches en managers ontvangen vaak vergoedingen die onder tafel worden uitbetaald.</w:t>
      </w:r>
    </w:p>
    <w:p w14:paraId="000FFD95" w14:textId="6C03D4EA" w:rsidR="00F04BF2" w:rsidRPr="006957F1" w:rsidRDefault="00E53F56" w:rsidP="00970A47">
      <w:pPr>
        <w:pStyle w:val="Paragraphedeliste"/>
        <w:numPr>
          <w:ilvl w:val="1"/>
          <w:numId w:val="1"/>
        </w:numPr>
        <w:jc w:val="both"/>
        <w:rPr>
          <w:sz w:val="24"/>
          <w:szCs w:val="24"/>
          <w:lang w:val="nl-BE"/>
        </w:rPr>
      </w:pPr>
      <w:r w:rsidRPr="006957F1">
        <w:rPr>
          <w:sz w:val="24"/>
          <w:szCs w:val="24"/>
          <w:lang w:val="nl-BE"/>
        </w:rPr>
        <w:t xml:space="preserve">Via </w:t>
      </w:r>
      <w:r w:rsidR="00903B68">
        <w:rPr>
          <w:sz w:val="24"/>
          <w:szCs w:val="24"/>
          <w:lang w:val="nl-BE"/>
        </w:rPr>
        <w:t>fictieve</w:t>
      </w:r>
      <w:r w:rsidRPr="006957F1">
        <w:rPr>
          <w:sz w:val="24"/>
          <w:szCs w:val="24"/>
          <w:lang w:val="nl-BE"/>
        </w:rPr>
        <w:t xml:space="preserve"> contracten met </w:t>
      </w:r>
      <w:r w:rsidR="00E35115">
        <w:rPr>
          <w:sz w:val="24"/>
          <w:szCs w:val="24"/>
          <w:lang w:val="nl-BE"/>
        </w:rPr>
        <w:t>“</w:t>
      </w:r>
      <w:r w:rsidRPr="006957F1">
        <w:rPr>
          <w:sz w:val="24"/>
          <w:szCs w:val="24"/>
          <w:lang w:val="nl-BE"/>
        </w:rPr>
        <w:t>offshore</w:t>
      </w:r>
      <w:r w:rsidR="00E35115">
        <w:rPr>
          <w:sz w:val="24"/>
          <w:szCs w:val="24"/>
          <w:lang w:val="nl-BE"/>
        </w:rPr>
        <w:t>”</w:t>
      </w:r>
      <w:r w:rsidRPr="006957F1">
        <w:rPr>
          <w:sz w:val="24"/>
          <w:szCs w:val="24"/>
          <w:lang w:val="nl-BE"/>
        </w:rPr>
        <w:t xml:space="preserve"> bedrijven voor portretrechten wordt niet alleen belasting ontdoken maar kan ook crimineel geld worden witgewassen</w:t>
      </w:r>
    </w:p>
    <w:p w14:paraId="1A6A6625" w14:textId="7F82F5FB" w:rsidR="001B24AE" w:rsidRDefault="001B24AE"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r>
        <w:rPr>
          <w:color w:val="4472C4" w:themeColor="accent1"/>
          <w:sz w:val="28"/>
          <w:szCs w:val="28"/>
          <w:u w:val="single" w:color="4472C4" w:themeColor="accent1"/>
          <w:lang w:val="nl-BE"/>
        </w:rPr>
        <w:t>Verloning (payroll)</w:t>
      </w:r>
    </w:p>
    <w:p w14:paraId="17B0EB71" w14:textId="028C9A31" w:rsidR="001B24AE" w:rsidRPr="008C742A" w:rsidRDefault="001B24AE" w:rsidP="001B24AE">
      <w:pPr>
        <w:pStyle w:val="Paragraphedeliste"/>
        <w:numPr>
          <w:ilvl w:val="0"/>
          <w:numId w:val="2"/>
        </w:numPr>
        <w:spacing w:before="240"/>
        <w:jc w:val="both"/>
        <w:rPr>
          <w:rFonts w:cstheme="minorHAnsi"/>
          <w:sz w:val="24"/>
          <w:szCs w:val="24"/>
          <w:lang w:val="nl-BE"/>
        </w:rPr>
      </w:pPr>
      <w:r w:rsidRPr="008C742A">
        <w:rPr>
          <w:rFonts w:cstheme="minorHAnsi"/>
          <w:sz w:val="24"/>
          <w:szCs w:val="24"/>
          <w:lang w:val="nl-BE"/>
        </w:rPr>
        <w:t>Foutieve toepassing niet doorstorting bedrijfsvoorheffing</w:t>
      </w:r>
    </w:p>
    <w:p w14:paraId="21B34077" w14:textId="213E3697" w:rsidR="001B24AE" w:rsidRPr="008C742A" w:rsidRDefault="001B24AE" w:rsidP="001B24AE">
      <w:pPr>
        <w:pStyle w:val="Paragraphedeliste"/>
        <w:numPr>
          <w:ilvl w:val="0"/>
          <w:numId w:val="2"/>
        </w:numPr>
        <w:spacing w:before="240"/>
        <w:jc w:val="both"/>
        <w:rPr>
          <w:sz w:val="24"/>
          <w:szCs w:val="24"/>
          <w:lang w:val="nl-BE"/>
        </w:rPr>
      </w:pPr>
      <w:r w:rsidRPr="008C742A">
        <w:rPr>
          <w:rFonts w:cstheme="minorHAnsi"/>
          <w:sz w:val="24"/>
          <w:szCs w:val="24"/>
          <w:lang w:val="nl-BE"/>
        </w:rPr>
        <w:t>Foutieve toepassing statuut van jonge sportbeoefenaar</w:t>
      </w:r>
    </w:p>
    <w:p w14:paraId="49BBD39B" w14:textId="27E5152F" w:rsidR="00C07B92" w:rsidRPr="006957F1" w:rsidRDefault="003F70C1"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proofErr w:type="gramStart"/>
      <w:r w:rsidRPr="006957F1">
        <w:rPr>
          <w:color w:val="4472C4" w:themeColor="accent1"/>
          <w:sz w:val="28"/>
          <w:szCs w:val="28"/>
          <w:u w:val="single" w:color="4472C4" w:themeColor="accent1"/>
          <w:lang w:val="nl-BE"/>
        </w:rPr>
        <w:t>Len</w:t>
      </w:r>
      <w:r w:rsidR="002C4657" w:rsidRPr="006957F1">
        <w:rPr>
          <w:color w:val="4472C4" w:themeColor="accent1"/>
          <w:sz w:val="28"/>
          <w:szCs w:val="28"/>
          <w:u w:val="single" w:color="4472C4" w:themeColor="accent1"/>
          <w:lang w:val="nl-BE"/>
        </w:rPr>
        <w:t>ing</w:t>
      </w:r>
      <w:r w:rsidRPr="006957F1">
        <w:rPr>
          <w:color w:val="4472C4" w:themeColor="accent1"/>
          <w:sz w:val="28"/>
          <w:szCs w:val="28"/>
          <w:u w:val="single" w:color="4472C4" w:themeColor="accent1"/>
          <w:lang w:val="nl-BE"/>
        </w:rPr>
        <w:t>en :</w:t>
      </w:r>
      <w:proofErr w:type="gramEnd"/>
    </w:p>
    <w:p w14:paraId="4749BB77" w14:textId="77777777" w:rsidR="00F04BF2" w:rsidRPr="006957F1" w:rsidRDefault="00F04BF2" w:rsidP="00970A47">
      <w:pPr>
        <w:pStyle w:val="Paragraphedeliste"/>
        <w:jc w:val="both"/>
        <w:rPr>
          <w:lang w:val="nl-BE"/>
        </w:rPr>
      </w:pPr>
    </w:p>
    <w:p w14:paraId="45B1ABDD" w14:textId="33E6196D" w:rsidR="00C07B92" w:rsidRPr="006957F1" w:rsidRDefault="00640302" w:rsidP="00970A47">
      <w:pPr>
        <w:pStyle w:val="Paragraphedeliste"/>
        <w:numPr>
          <w:ilvl w:val="1"/>
          <w:numId w:val="1"/>
        </w:numPr>
        <w:jc w:val="both"/>
        <w:rPr>
          <w:sz w:val="24"/>
          <w:szCs w:val="24"/>
          <w:lang w:val="nl-BE"/>
        </w:rPr>
      </w:pPr>
      <w:proofErr w:type="gramStart"/>
      <w:r w:rsidRPr="006957F1">
        <w:rPr>
          <w:sz w:val="24"/>
          <w:szCs w:val="24"/>
          <w:lang w:val="nl-BE"/>
        </w:rPr>
        <w:lastRenderedPageBreak/>
        <w:t xml:space="preserve">Aandeelhouderslening </w:t>
      </w:r>
      <w:r w:rsidR="003F70C1" w:rsidRPr="006957F1">
        <w:rPr>
          <w:sz w:val="24"/>
          <w:szCs w:val="24"/>
          <w:lang w:val="nl-BE"/>
        </w:rPr>
        <w:t xml:space="preserve"> ter</w:t>
      </w:r>
      <w:proofErr w:type="gramEnd"/>
      <w:r w:rsidR="003F70C1" w:rsidRPr="006957F1">
        <w:rPr>
          <w:sz w:val="24"/>
          <w:szCs w:val="24"/>
          <w:lang w:val="nl-BE"/>
        </w:rPr>
        <w:t xml:space="preserve"> ondersteuning van de verliezen van de club</w:t>
      </w:r>
      <w:r w:rsidR="008B43E2" w:rsidRPr="006957F1">
        <w:rPr>
          <w:sz w:val="24"/>
          <w:szCs w:val="24"/>
          <w:lang w:val="nl-BE"/>
        </w:rPr>
        <w:t xml:space="preserve">: herkomst van de </w:t>
      </w:r>
      <w:r w:rsidR="00F00A09" w:rsidRPr="006957F1">
        <w:rPr>
          <w:sz w:val="24"/>
          <w:szCs w:val="24"/>
          <w:lang w:val="nl-BE"/>
        </w:rPr>
        <w:t>geld</w:t>
      </w:r>
      <w:r w:rsidR="008B43E2" w:rsidRPr="006957F1">
        <w:rPr>
          <w:sz w:val="24"/>
          <w:szCs w:val="24"/>
          <w:lang w:val="nl-BE"/>
        </w:rPr>
        <w:t>middelen</w:t>
      </w:r>
    </w:p>
    <w:p w14:paraId="230C1279" w14:textId="77777777" w:rsidR="006D6532" w:rsidRPr="006957F1" w:rsidRDefault="006D6532" w:rsidP="00970A47">
      <w:pPr>
        <w:pStyle w:val="Paragraphedeliste"/>
        <w:ind w:left="1440"/>
        <w:jc w:val="both"/>
        <w:rPr>
          <w:lang w:val="nl-BE"/>
        </w:rPr>
      </w:pPr>
    </w:p>
    <w:p w14:paraId="4C1B0CDC" w14:textId="5C01A87A" w:rsidR="00C07B92" w:rsidRPr="006957F1" w:rsidRDefault="003F70C1" w:rsidP="00970A47">
      <w:pPr>
        <w:pStyle w:val="Paragraphedeliste"/>
        <w:numPr>
          <w:ilvl w:val="0"/>
          <w:numId w:val="1"/>
        </w:numPr>
        <w:spacing w:before="240"/>
        <w:ind w:left="714" w:hanging="357"/>
        <w:jc w:val="both"/>
        <w:rPr>
          <w:color w:val="4472C4" w:themeColor="accent1"/>
          <w:sz w:val="28"/>
          <w:szCs w:val="28"/>
          <w:u w:val="single" w:color="4472C4" w:themeColor="accent1"/>
          <w:lang w:val="nl-BE"/>
        </w:rPr>
      </w:pPr>
      <w:r w:rsidRPr="006957F1">
        <w:rPr>
          <w:color w:val="4472C4" w:themeColor="accent1"/>
          <w:sz w:val="28"/>
          <w:szCs w:val="28"/>
          <w:u w:val="single" w:color="4472C4" w:themeColor="accent1"/>
          <w:lang w:val="nl-BE"/>
        </w:rPr>
        <w:t xml:space="preserve">Buiten </w:t>
      </w:r>
      <w:proofErr w:type="gramStart"/>
      <w:r w:rsidRPr="006957F1">
        <w:rPr>
          <w:color w:val="4472C4" w:themeColor="accent1"/>
          <w:sz w:val="28"/>
          <w:szCs w:val="28"/>
          <w:u w:val="single" w:color="4472C4" w:themeColor="accent1"/>
          <w:lang w:val="nl-BE"/>
        </w:rPr>
        <w:t>balans :</w:t>
      </w:r>
      <w:proofErr w:type="gramEnd"/>
    </w:p>
    <w:p w14:paraId="6F1082DC" w14:textId="77777777" w:rsidR="00F04BF2" w:rsidRPr="006957F1" w:rsidRDefault="00F04BF2" w:rsidP="00970A47">
      <w:pPr>
        <w:pStyle w:val="Paragraphedeliste"/>
        <w:jc w:val="both"/>
        <w:rPr>
          <w:lang w:val="nl-BE"/>
        </w:rPr>
      </w:pPr>
    </w:p>
    <w:p w14:paraId="44C92A04" w14:textId="364D691C" w:rsidR="00C07B92" w:rsidRPr="006957F1" w:rsidRDefault="003F70C1" w:rsidP="00970A47">
      <w:pPr>
        <w:pStyle w:val="Paragraphedeliste"/>
        <w:numPr>
          <w:ilvl w:val="1"/>
          <w:numId w:val="1"/>
        </w:numPr>
        <w:jc w:val="both"/>
        <w:rPr>
          <w:sz w:val="24"/>
          <w:szCs w:val="24"/>
          <w:lang w:val="nl-BE"/>
        </w:rPr>
      </w:pPr>
      <w:r w:rsidRPr="006957F1">
        <w:rPr>
          <w:sz w:val="24"/>
          <w:szCs w:val="24"/>
          <w:lang w:val="nl-BE"/>
        </w:rPr>
        <w:t>Commissie</w:t>
      </w:r>
      <w:r w:rsidR="00310392" w:rsidRPr="006957F1">
        <w:rPr>
          <w:sz w:val="24"/>
          <w:szCs w:val="24"/>
          <w:lang w:val="nl-BE"/>
        </w:rPr>
        <w:t>loon</w:t>
      </w:r>
      <w:r w:rsidRPr="006957F1">
        <w:rPr>
          <w:sz w:val="24"/>
          <w:szCs w:val="24"/>
          <w:lang w:val="nl-BE"/>
        </w:rPr>
        <w:t xml:space="preserve"> betaald aan spelersmakelaars</w:t>
      </w:r>
    </w:p>
    <w:p w14:paraId="745DA9FA" w14:textId="694433A1" w:rsidR="00C07B92" w:rsidRPr="006957F1" w:rsidRDefault="009A6379" w:rsidP="00970A47">
      <w:pPr>
        <w:pStyle w:val="Paragraphedeliste"/>
        <w:numPr>
          <w:ilvl w:val="1"/>
          <w:numId w:val="1"/>
        </w:numPr>
        <w:jc w:val="both"/>
        <w:rPr>
          <w:lang w:val="nl-BE"/>
        </w:rPr>
      </w:pPr>
      <w:r w:rsidRPr="006957F1">
        <w:rPr>
          <w:sz w:val="24"/>
          <w:szCs w:val="24"/>
          <w:lang w:val="nl-BE"/>
        </w:rPr>
        <w:t>Recht op afbeelding</w:t>
      </w:r>
      <w:r w:rsidR="003F70C1" w:rsidRPr="006957F1">
        <w:rPr>
          <w:sz w:val="24"/>
          <w:szCs w:val="24"/>
          <w:lang w:val="nl-BE"/>
        </w:rPr>
        <w:t xml:space="preserve"> betaald aan spelers in landen met lage belastingen (wereldwijde rechten)</w:t>
      </w:r>
    </w:p>
    <w:p w14:paraId="484EC372" w14:textId="77777777" w:rsidR="00C07B92" w:rsidRDefault="003F70C1" w:rsidP="00970A47">
      <w:pPr>
        <w:pStyle w:val="Paragraphedeliste"/>
        <w:numPr>
          <w:ilvl w:val="1"/>
          <w:numId w:val="1"/>
        </w:numPr>
        <w:jc w:val="both"/>
        <w:rPr>
          <w:sz w:val="24"/>
          <w:szCs w:val="24"/>
          <w:lang w:val="nl-BE"/>
        </w:rPr>
      </w:pPr>
      <w:r w:rsidRPr="006957F1">
        <w:rPr>
          <w:sz w:val="24"/>
          <w:szCs w:val="24"/>
          <w:lang w:val="nl-BE"/>
        </w:rPr>
        <w:t>Matchfixing/illegaal gokken: omkoping van spelers en scheidsrechters.</w:t>
      </w:r>
    </w:p>
    <w:p w14:paraId="497AB07C" w14:textId="02D15CDE" w:rsidR="003576FE" w:rsidRDefault="003576FE">
      <w:pPr>
        <w:rPr>
          <w:sz w:val="24"/>
          <w:szCs w:val="24"/>
          <w:lang w:val="nl-BE"/>
        </w:rPr>
      </w:pPr>
      <w:r>
        <w:rPr>
          <w:sz w:val="24"/>
          <w:szCs w:val="24"/>
          <w:lang w:val="nl-BE"/>
        </w:rPr>
        <w:br w:type="page"/>
      </w:r>
    </w:p>
    <w:tbl>
      <w:tblPr>
        <w:tblStyle w:val="Grilledutableau"/>
        <w:tblW w:w="0" w:type="auto"/>
        <w:tblInd w:w="723" w:type="dxa"/>
        <w:tblLook w:val="04A0" w:firstRow="1" w:lastRow="0" w:firstColumn="1" w:lastColumn="0" w:noHBand="0" w:noVBand="1"/>
      </w:tblPr>
      <w:tblGrid>
        <w:gridCol w:w="8339"/>
      </w:tblGrid>
      <w:tr w:rsidR="003576FE" w:rsidRPr="00DE0E3C" w14:paraId="431DF401" w14:textId="77777777" w:rsidTr="00F36389">
        <w:tc>
          <w:tcPr>
            <w:tcW w:w="9062" w:type="dxa"/>
          </w:tcPr>
          <w:p w14:paraId="3835790F" w14:textId="77777777" w:rsidR="003576FE" w:rsidRDefault="003576FE" w:rsidP="00F36389">
            <w:pPr>
              <w:jc w:val="both"/>
              <w:rPr>
                <w:b/>
                <w:bCs/>
                <w:sz w:val="24"/>
                <w:szCs w:val="24"/>
                <w:lang w:val="nl-BE"/>
              </w:rPr>
            </w:pPr>
            <w:r w:rsidRPr="00665127">
              <w:rPr>
                <w:b/>
                <w:bCs/>
                <w:sz w:val="24"/>
                <w:szCs w:val="24"/>
                <w:lang w:val="nl-BE"/>
              </w:rPr>
              <w:lastRenderedPageBreak/>
              <w:t>Aandachtpunten:</w:t>
            </w:r>
          </w:p>
          <w:p w14:paraId="76720F8F" w14:textId="77777777" w:rsidR="003576FE" w:rsidRPr="00665127" w:rsidRDefault="003576FE" w:rsidP="00F36389">
            <w:pPr>
              <w:jc w:val="both"/>
              <w:rPr>
                <w:b/>
                <w:bCs/>
                <w:sz w:val="24"/>
                <w:szCs w:val="24"/>
                <w:lang w:val="nl-BE"/>
              </w:rPr>
            </w:pPr>
          </w:p>
          <w:p w14:paraId="10CBDC5C" w14:textId="77777777" w:rsidR="003576FE" w:rsidRDefault="003576FE" w:rsidP="00F36389">
            <w:pPr>
              <w:jc w:val="both"/>
              <w:rPr>
                <w:sz w:val="24"/>
                <w:szCs w:val="24"/>
                <w:lang w:val="nl-BE"/>
              </w:rPr>
            </w:pPr>
            <w:hyperlink r:id="rId10" w:history="1">
              <w:r w:rsidRPr="00781996">
                <w:rPr>
                  <w:rStyle w:val="Lienhypertexte"/>
                  <w:sz w:val="24"/>
                  <w:szCs w:val="24"/>
                  <w:lang w:val="nl-BE"/>
                </w:rPr>
                <w:t>Het Reglement van 20 maart 2023</w:t>
              </w:r>
            </w:hyperlink>
            <w:r>
              <w:rPr>
                <w:sz w:val="24"/>
                <w:szCs w:val="24"/>
                <w:lang w:val="nl-BE"/>
              </w:rPr>
              <w:t xml:space="preserve"> </w:t>
            </w:r>
            <w:r w:rsidRPr="00781996">
              <w:rPr>
                <w:sz w:val="24"/>
                <w:szCs w:val="24"/>
                <w:lang w:val="nl-BE"/>
              </w:rPr>
              <w:t xml:space="preserve">ter uitvoering van de wet van 18 september 2017 tot voorkoming van het witwassen van geld en de financiering van terrorisme en tot beperking van het gebruik van contanten, </w:t>
            </w:r>
            <w:proofErr w:type="gramStart"/>
            <w:r w:rsidRPr="00781996">
              <w:rPr>
                <w:sz w:val="24"/>
                <w:szCs w:val="24"/>
                <w:lang w:val="nl-BE"/>
              </w:rPr>
              <w:t>aangaande</w:t>
            </w:r>
            <w:proofErr w:type="gramEnd"/>
            <w:r w:rsidRPr="00781996">
              <w:rPr>
                <w:sz w:val="24"/>
                <w:szCs w:val="24"/>
                <w:lang w:val="nl-BE"/>
              </w:rPr>
              <w:t xml:space="preserve"> professionele topvoetbalclubs</w:t>
            </w:r>
            <w:r>
              <w:rPr>
                <w:sz w:val="24"/>
                <w:szCs w:val="24"/>
                <w:lang w:val="nl-BE"/>
              </w:rPr>
              <w:t xml:space="preserve"> </w:t>
            </w:r>
            <w:r w:rsidRPr="005E0F22">
              <w:rPr>
                <w:sz w:val="24"/>
                <w:szCs w:val="24"/>
                <w:lang w:val="nl-BE"/>
              </w:rPr>
              <w:t>voorziet de volgende risicofactoren:</w:t>
            </w:r>
          </w:p>
          <w:p w14:paraId="77D16F30" w14:textId="77777777" w:rsidR="003576FE" w:rsidRDefault="003576FE" w:rsidP="00F36389">
            <w:pPr>
              <w:spacing w:after="160" w:line="259" w:lineRule="auto"/>
              <w:ind w:left="723"/>
              <w:jc w:val="both"/>
              <w:rPr>
                <w:sz w:val="20"/>
                <w:szCs w:val="20"/>
                <w:u w:val="single"/>
                <w:lang w:val="nl-BE"/>
              </w:rPr>
            </w:pPr>
          </w:p>
          <w:p w14:paraId="38A3865D" w14:textId="77777777" w:rsidR="003576FE" w:rsidRPr="008B0ED7" w:rsidRDefault="003576FE" w:rsidP="00F36389">
            <w:pPr>
              <w:jc w:val="both"/>
              <w:rPr>
                <w:sz w:val="20"/>
                <w:szCs w:val="20"/>
                <w:u w:val="single"/>
                <w:lang w:val="nl-BE"/>
              </w:rPr>
            </w:pPr>
            <w:r w:rsidRPr="008B0ED7">
              <w:rPr>
                <w:sz w:val="20"/>
                <w:szCs w:val="20"/>
                <w:u w:val="single"/>
                <w:lang w:val="nl-BE"/>
              </w:rPr>
              <w:t>1° voor wat betreft een cliënt - natuurlijke persoon of rechtspersoon:</w:t>
            </w:r>
          </w:p>
          <w:p w14:paraId="7466766C"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de lasthebber of een uiteindelijke begunstigde is gevestigd in een land vermeld in de door de FOD Financiën bijgehouden lijst van landen met een hoog risico (</w:t>
            </w:r>
            <w:hyperlink r:id="rId11" w:history="1">
              <w:r w:rsidRPr="007F5F16">
                <w:rPr>
                  <w:rStyle w:val="Lienhypertexte"/>
                  <w:sz w:val="20"/>
                  <w:szCs w:val="20"/>
                  <w:lang w:val="nl-BE"/>
                </w:rPr>
                <w:t>https://financien.belgium.be/nl/landen-met-een-hoog-risico</w:t>
              </w:r>
            </w:hyperlink>
            <w:r w:rsidRPr="008B0ED7">
              <w:rPr>
                <w:sz w:val="20"/>
                <w:szCs w:val="20"/>
                <w:lang w:val="nl-BE"/>
              </w:rPr>
              <w:t>);</w:t>
            </w:r>
          </w:p>
          <w:p w14:paraId="19DA08DE"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de lasthebber of een uiteindelijke begunstigde is notoir betrokken bij dubieuze verrichtingen;</w:t>
            </w:r>
          </w:p>
          <w:p w14:paraId="5C92FB66"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identificatie gebeurde op afstand aan de hand van een kopie van een bewijsstuk maar zonder garantie zoals een gekwalificeerde elektronische handtekening of een gekwalificeerde elektronische stempel;</w:t>
            </w:r>
          </w:p>
          <w:p w14:paraId="0DC34E3A"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lasthebber of uiteindelijke begunstigde is een politiek prominent persoon of een familielid, zoals bepaald in artikel 4, 28° en 29°, van de wet;</w:t>
            </w:r>
          </w:p>
          <w:p w14:paraId="189CB634"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vertoont ongebruikelijke kenmerken;</w:t>
            </w:r>
          </w:p>
          <w:p w14:paraId="4F06A608"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is duidelijk een stroman;</w:t>
            </w:r>
          </w:p>
          <w:p w14:paraId="4D1C6323"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kreeg strafrechtelijke of administratieve sancties of disciplinaire sancties door de FIFA of een van haar ledenfederaties, of was het voorwerp van negatieve publiciteit (bijvoorbeeld www.offshoreleaks.icji.org);</w:t>
            </w:r>
          </w:p>
          <w:p w14:paraId="55141493" w14:textId="77777777" w:rsidR="003576FE" w:rsidRPr="008B0ED7" w:rsidRDefault="003576FE" w:rsidP="003576FE">
            <w:pPr>
              <w:pStyle w:val="Paragraphedeliste"/>
              <w:numPr>
                <w:ilvl w:val="0"/>
                <w:numId w:val="3"/>
              </w:numPr>
              <w:ind w:left="720"/>
              <w:jc w:val="both"/>
              <w:rPr>
                <w:sz w:val="20"/>
                <w:szCs w:val="20"/>
                <w:lang w:val="nl-BE"/>
              </w:rPr>
            </w:pPr>
            <w:r w:rsidRPr="008B0ED7">
              <w:rPr>
                <w:sz w:val="20"/>
                <w:szCs w:val="20"/>
                <w:lang w:val="nl-BE"/>
              </w:rPr>
              <w:t>de cliënt kreeg disciplinaire sancties opgelegd door de FIFA of een van haar ledenfederaties wegens feiten die verband houden met zijn financieel of administratief beheer. Die sancties hebben met name betrekking op:</w:t>
            </w:r>
          </w:p>
          <w:p w14:paraId="7E662397" w14:textId="77777777" w:rsidR="003576FE" w:rsidRPr="008B0ED7" w:rsidRDefault="003576FE" w:rsidP="003576FE">
            <w:pPr>
              <w:pStyle w:val="Paragraphedeliste"/>
              <w:numPr>
                <w:ilvl w:val="1"/>
                <w:numId w:val="4"/>
              </w:numPr>
              <w:ind w:left="1440"/>
              <w:jc w:val="both"/>
              <w:rPr>
                <w:sz w:val="20"/>
                <w:szCs w:val="20"/>
                <w:lang w:val="nl-BE"/>
              </w:rPr>
            </w:pPr>
            <w:r w:rsidRPr="008B0ED7">
              <w:rPr>
                <w:sz w:val="20"/>
                <w:szCs w:val="20"/>
                <w:lang w:val="nl-BE"/>
              </w:rPr>
              <w:t>het sluiten van een transactie via een niet-geregistreerde makelaar;</w:t>
            </w:r>
          </w:p>
          <w:p w14:paraId="2F70500B" w14:textId="77777777" w:rsidR="003576FE" w:rsidRPr="008B0ED7" w:rsidRDefault="003576FE" w:rsidP="003576FE">
            <w:pPr>
              <w:pStyle w:val="Paragraphedeliste"/>
              <w:numPr>
                <w:ilvl w:val="1"/>
                <w:numId w:val="4"/>
              </w:numPr>
              <w:ind w:left="1440"/>
              <w:jc w:val="both"/>
              <w:rPr>
                <w:sz w:val="20"/>
                <w:szCs w:val="20"/>
                <w:lang w:val="nl-BE"/>
              </w:rPr>
            </w:pPr>
            <w:r w:rsidRPr="008B0ED7">
              <w:rPr>
                <w:sz w:val="20"/>
                <w:szCs w:val="20"/>
                <w:lang w:val="nl-BE"/>
              </w:rPr>
              <w:t xml:space="preserve">het sluiten van een transactie zonder voorafgaand akkoord van het </w:t>
            </w:r>
            <w:proofErr w:type="gramStart"/>
            <w:r w:rsidRPr="008B0ED7">
              <w:rPr>
                <w:sz w:val="20"/>
                <w:szCs w:val="20"/>
                <w:lang w:val="nl-BE"/>
              </w:rPr>
              <w:t>clearing house</w:t>
            </w:r>
            <w:proofErr w:type="gramEnd"/>
            <w:r w:rsidRPr="008B0ED7">
              <w:rPr>
                <w:sz w:val="20"/>
                <w:szCs w:val="20"/>
                <w:lang w:val="nl-BE"/>
              </w:rPr>
              <w:t xml:space="preserve"> of van een andere bevoegde autoriteit;</w:t>
            </w:r>
          </w:p>
          <w:p w14:paraId="02BB76F7" w14:textId="77777777" w:rsidR="003576FE" w:rsidRPr="008B0ED7" w:rsidRDefault="003576FE" w:rsidP="003576FE">
            <w:pPr>
              <w:pStyle w:val="Paragraphedeliste"/>
              <w:numPr>
                <w:ilvl w:val="1"/>
                <w:numId w:val="4"/>
              </w:numPr>
              <w:ind w:left="1440"/>
              <w:jc w:val="both"/>
              <w:rPr>
                <w:sz w:val="20"/>
                <w:szCs w:val="20"/>
                <w:lang w:val="nl-BE"/>
              </w:rPr>
            </w:pPr>
            <w:r w:rsidRPr="008B0ED7">
              <w:rPr>
                <w:sz w:val="20"/>
                <w:szCs w:val="20"/>
                <w:lang w:val="nl-BE"/>
              </w:rPr>
              <w:t>de niet-naleving van een verbod op betaling voor diensten aan minderjarigen;</w:t>
            </w:r>
          </w:p>
          <w:p w14:paraId="6CCF8159" w14:textId="77777777" w:rsidR="003576FE" w:rsidRPr="008B0ED7" w:rsidRDefault="003576FE" w:rsidP="003576FE">
            <w:pPr>
              <w:pStyle w:val="Paragraphedeliste"/>
              <w:numPr>
                <w:ilvl w:val="1"/>
                <w:numId w:val="4"/>
              </w:numPr>
              <w:ind w:left="1440"/>
              <w:jc w:val="both"/>
              <w:rPr>
                <w:sz w:val="20"/>
                <w:szCs w:val="20"/>
                <w:lang w:val="nl-BE"/>
              </w:rPr>
            </w:pPr>
            <w:r w:rsidRPr="008B0ED7">
              <w:rPr>
                <w:sz w:val="20"/>
                <w:szCs w:val="20"/>
                <w:lang w:val="nl-BE"/>
              </w:rPr>
              <w:t>de niet-naleving van het verbod op dubbele vertegenwoordiging door een makelaar bij een transactie (club en speler);</w:t>
            </w:r>
          </w:p>
          <w:p w14:paraId="6FA22632" w14:textId="77777777" w:rsidR="003576FE" w:rsidRPr="008B0ED7" w:rsidRDefault="003576FE" w:rsidP="003576FE">
            <w:pPr>
              <w:pStyle w:val="Paragraphedeliste"/>
              <w:numPr>
                <w:ilvl w:val="1"/>
                <w:numId w:val="4"/>
              </w:numPr>
              <w:ind w:left="1440"/>
              <w:jc w:val="both"/>
              <w:rPr>
                <w:sz w:val="20"/>
                <w:szCs w:val="20"/>
                <w:lang w:val="nl-BE"/>
              </w:rPr>
            </w:pPr>
            <w:r w:rsidRPr="008B0ED7">
              <w:rPr>
                <w:sz w:val="20"/>
                <w:szCs w:val="20"/>
                <w:lang w:val="nl-BE"/>
              </w:rPr>
              <w:t>het ontbreken van een intern beleid voor de relaties met de spelersmakelaars;</w:t>
            </w:r>
          </w:p>
          <w:p w14:paraId="3AA04E77" w14:textId="77777777" w:rsidR="003576FE" w:rsidRPr="0087232B" w:rsidRDefault="003576FE" w:rsidP="00F36389">
            <w:pPr>
              <w:jc w:val="both"/>
              <w:rPr>
                <w:sz w:val="20"/>
                <w:szCs w:val="20"/>
                <w:u w:val="single"/>
                <w:lang w:val="nl-BE"/>
              </w:rPr>
            </w:pPr>
            <w:r w:rsidRPr="0087232B">
              <w:rPr>
                <w:sz w:val="20"/>
                <w:szCs w:val="20"/>
                <w:u w:val="single"/>
                <w:lang w:val="nl-BE"/>
              </w:rPr>
              <w:t>2° voor wat betreft cliënt - rechtspersoon:</w:t>
            </w:r>
          </w:p>
          <w:p w14:paraId="32EF0046"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uiteindelijke begunstigden zijn personen van wie de geboorteplaats of -datum of hun adres, niet kon worden geïdentificeerd;</w:t>
            </w:r>
          </w:p>
          <w:p w14:paraId="15EA5D7E"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cliënt is een buitenlandse vennootschap waarvan een aanzienlijk deel van het kapitaal wordt vertegenwoordigd door aandelen aan toonder die gemakkelijk van eigenaar kunnen veranderen zonder dat de club daarvan op de hoogte is;</w:t>
            </w:r>
          </w:p>
          <w:p w14:paraId="5B115901"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cliënt is een trust, een feitelijke vereniging of een andere juridische structuur waarvan een goede kennis een meer diepgaande analyse vereist, bijvoorbeeld een complexe of supranationale juridische structuur voor andere vennootschappen dan naamloze of vergelijkbare vennootschappen;</w:t>
            </w:r>
          </w:p>
          <w:p w14:paraId="439057FA"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cliënt is een vennootschap in oprichting;</w:t>
            </w:r>
          </w:p>
          <w:p w14:paraId="138BD8C8"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cliënt bestaat minder dan twaalf maanden;</w:t>
            </w:r>
          </w:p>
          <w:p w14:paraId="770824A7"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zaakvoerder of de meerderheid van de bestuurders zijn minder dan twaalf maanden in functie;</w:t>
            </w:r>
          </w:p>
          <w:p w14:paraId="0E731D1F"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cliënt is een Limited of een vennootschap met onbeperkte aansprakelijkheid, d.w.z. een maatschap, een vennootschap onder firma (VOF) of een commanditaire vennootschap (CommV) of een gelijkaardige buitenlandse vennootschap;</w:t>
            </w:r>
          </w:p>
          <w:p w14:paraId="7130EAE0"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lasthebber of vennoten zijn duidelijk stromannen, bijvoorbeeld zichtbaar onbekwaam om een onderneming te beheren, spreken geen zakelijke taal, hun mandaat is beperkt tot het sluiten van de overeenkomst;</w:t>
            </w:r>
          </w:p>
          <w:p w14:paraId="7CAF918D"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t>de activiteit van de cliënt is niet duidelijk of komt niet overeen met de activiteit beschreven in de Kruispuntbank van Ondernemingen of in zijn statuten;</w:t>
            </w:r>
          </w:p>
          <w:p w14:paraId="766FC9ED" w14:textId="77777777" w:rsidR="003576FE" w:rsidRPr="0087232B" w:rsidRDefault="003576FE" w:rsidP="003576FE">
            <w:pPr>
              <w:pStyle w:val="Paragraphedeliste"/>
              <w:numPr>
                <w:ilvl w:val="0"/>
                <w:numId w:val="5"/>
              </w:numPr>
              <w:jc w:val="both"/>
              <w:rPr>
                <w:sz w:val="20"/>
                <w:szCs w:val="20"/>
                <w:lang w:val="nl-BE"/>
              </w:rPr>
            </w:pPr>
            <w:r w:rsidRPr="0087232B">
              <w:rPr>
                <w:sz w:val="20"/>
                <w:szCs w:val="20"/>
                <w:lang w:val="nl-BE"/>
              </w:rPr>
              <w:lastRenderedPageBreak/>
              <w:t>de zaakvoerders of de bestuurders wisselen regelmatig;</w:t>
            </w:r>
          </w:p>
          <w:p w14:paraId="39A2851B" w14:textId="77777777" w:rsidR="003576FE" w:rsidRPr="0087232B" w:rsidRDefault="003576FE" w:rsidP="00F36389">
            <w:pPr>
              <w:jc w:val="both"/>
              <w:rPr>
                <w:sz w:val="20"/>
                <w:szCs w:val="20"/>
                <w:u w:val="single"/>
                <w:lang w:val="nl-BE"/>
              </w:rPr>
            </w:pPr>
            <w:r w:rsidRPr="0087232B">
              <w:rPr>
                <w:sz w:val="20"/>
                <w:szCs w:val="20"/>
                <w:u w:val="single"/>
                <w:lang w:val="nl-BE"/>
              </w:rPr>
              <w:t>3° voor wat betreft een cliënt - sponsor:</w:t>
            </w:r>
          </w:p>
          <w:p w14:paraId="2AD927F7" w14:textId="77777777" w:rsidR="003576FE" w:rsidRPr="0087232B" w:rsidRDefault="003576FE" w:rsidP="003576FE">
            <w:pPr>
              <w:pStyle w:val="Paragraphedeliste"/>
              <w:numPr>
                <w:ilvl w:val="0"/>
                <w:numId w:val="6"/>
              </w:numPr>
              <w:jc w:val="both"/>
              <w:rPr>
                <w:sz w:val="20"/>
                <w:szCs w:val="20"/>
                <w:lang w:val="nl-BE"/>
              </w:rPr>
            </w:pPr>
            <w:r w:rsidRPr="0087232B">
              <w:rPr>
                <w:sz w:val="20"/>
                <w:szCs w:val="20"/>
                <w:lang w:val="nl-BE"/>
              </w:rPr>
              <w:t>het verzoek om sponsoring van deze cliënt strookt niet met zijn activiteiten;</w:t>
            </w:r>
          </w:p>
          <w:p w14:paraId="67DEE953" w14:textId="77777777" w:rsidR="003576FE" w:rsidRPr="0087232B" w:rsidRDefault="003576FE" w:rsidP="003576FE">
            <w:pPr>
              <w:pStyle w:val="Paragraphedeliste"/>
              <w:numPr>
                <w:ilvl w:val="0"/>
                <w:numId w:val="6"/>
              </w:numPr>
              <w:jc w:val="both"/>
              <w:rPr>
                <w:sz w:val="20"/>
                <w:szCs w:val="20"/>
                <w:lang w:val="nl-BE"/>
              </w:rPr>
            </w:pPr>
            <w:r w:rsidRPr="0087232B">
              <w:rPr>
                <w:sz w:val="20"/>
                <w:szCs w:val="20"/>
                <w:lang w:val="nl-BE"/>
              </w:rPr>
              <w:t>de sponsor is niet beroepsmatig actief in België;</w:t>
            </w:r>
          </w:p>
          <w:p w14:paraId="6DA9F0A3" w14:textId="77777777" w:rsidR="003576FE" w:rsidRPr="0087232B" w:rsidRDefault="003576FE" w:rsidP="00F36389">
            <w:pPr>
              <w:jc w:val="both"/>
              <w:rPr>
                <w:sz w:val="20"/>
                <w:szCs w:val="20"/>
                <w:u w:val="single"/>
                <w:lang w:val="nl-BE"/>
              </w:rPr>
            </w:pPr>
            <w:r w:rsidRPr="0087232B">
              <w:rPr>
                <w:sz w:val="20"/>
                <w:szCs w:val="20"/>
                <w:u w:val="single"/>
                <w:lang w:val="nl-BE"/>
              </w:rPr>
              <w:t>4° voor wat betreft een cliënt - voetbalclub:</w:t>
            </w:r>
          </w:p>
          <w:p w14:paraId="2B81951A"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de transferprijs van een speler moet worden betaald via of op meerdere bankrekeningen;</w:t>
            </w:r>
          </w:p>
          <w:p w14:paraId="2541D1E6"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de transferprijs van een speler wordt betaald via of op een rekening in een ander land dan de plaats van vestiging van de club;</w:t>
            </w:r>
          </w:p>
          <w:p w14:paraId="691E3B05"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de betaalde transferprijs van een speler komt niet overeen met de prijs in de overeenkomst;</w:t>
            </w:r>
          </w:p>
          <w:p w14:paraId="47CB202F"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de transferprijs van een speler varieert sterk tussen zijn aankomst en zijn vertrek bij dezelfde club, zonder dat daarvoor een economische of sportgerelateerde reden bestaat;</w:t>
            </w:r>
          </w:p>
          <w:p w14:paraId="569E7E18"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een speler heeft een zeer korte periode bij zijn club gespeeld, in het bijzonder wanneer de transfer tijdens dezelfde transferperiode plaatsvindt;</w:t>
            </w:r>
          </w:p>
          <w:p w14:paraId="19584273"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er is een verband (bijvoorbeeld dezelfde aandeelhouders) tussen de clubs waartussen de spelerstransfer plaatsvindt;</w:t>
            </w:r>
          </w:p>
          <w:p w14:paraId="69FA068C" w14:textId="77777777" w:rsidR="003576FE" w:rsidRPr="0087232B" w:rsidRDefault="003576FE" w:rsidP="003576FE">
            <w:pPr>
              <w:pStyle w:val="Paragraphedeliste"/>
              <w:numPr>
                <w:ilvl w:val="0"/>
                <w:numId w:val="7"/>
              </w:numPr>
              <w:jc w:val="both"/>
              <w:rPr>
                <w:sz w:val="20"/>
                <w:szCs w:val="20"/>
                <w:lang w:val="nl-BE"/>
              </w:rPr>
            </w:pPr>
            <w:r w:rsidRPr="0087232B">
              <w:rPr>
                <w:sz w:val="20"/>
                <w:szCs w:val="20"/>
                <w:lang w:val="nl-BE"/>
              </w:rPr>
              <w:t>de club is niet bij FIFA TMS geregistreerd;</w:t>
            </w:r>
          </w:p>
          <w:p w14:paraId="37DA21B8" w14:textId="77777777" w:rsidR="003576FE" w:rsidRPr="0087232B" w:rsidRDefault="003576FE" w:rsidP="00F36389">
            <w:pPr>
              <w:jc w:val="both"/>
              <w:rPr>
                <w:sz w:val="20"/>
                <w:szCs w:val="20"/>
                <w:u w:val="single"/>
                <w:lang w:val="nl-BE"/>
              </w:rPr>
            </w:pPr>
            <w:r w:rsidRPr="0087232B">
              <w:rPr>
                <w:sz w:val="20"/>
                <w:szCs w:val="20"/>
                <w:u w:val="single"/>
                <w:lang w:val="nl-BE"/>
              </w:rPr>
              <w:t>5° voor wat betreft een cliënt - sportmakelaar:</w:t>
            </w:r>
          </w:p>
          <w:p w14:paraId="464C6929" w14:textId="77777777" w:rsidR="003576FE" w:rsidRPr="0087232B" w:rsidRDefault="003576FE" w:rsidP="003576FE">
            <w:pPr>
              <w:pStyle w:val="Paragraphedeliste"/>
              <w:numPr>
                <w:ilvl w:val="0"/>
                <w:numId w:val="8"/>
              </w:numPr>
              <w:jc w:val="both"/>
              <w:rPr>
                <w:sz w:val="20"/>
                <w:szCs w:val="20"/>
                <w:lang w:val="nl-BE"/>
              </w:rPr>
            </w:pPr>
            <w:r w:rsidRPr="0087232B">
              <w:rPr>
                <w:sz w:val="20"/>
                <w:szCs w:val="20"/>
                <w:lang w:val="nl-BE"/>
              </w:rPr>
              <w:t>het bedrag van de commissie op de transferprijs van een speler moet worden betaald via of op meerdere bankrekeningen of op de rekening van een andere makelaar of moet worden verdeeld over meerdere makelaars;</w:t>
            </w:r>
          </w:p>
          <w:p w14:paraId="7C6B1126" w14:textId="77777777" w:rsidR="003576FE" w:rsidRPr="0087232B" w:rsidRDefault="003576FE" w:rsidP="003576FE">
            <w:pPr>
              <w:pStyle w:val="Paragraphedeliste"/>
              <w:numPr>
                <w:ilvl w:val="0"/>
                <w:numId w:val="8"/>
              </w:numPr>
              <w:jc w:val="both"/>
              <w:rPr>
                <w:sz w:val="20"/>
                <w:szCs w:val="20"/>
                <w:lang w:val="nl-BE"/>
              </w:rPr>
            </w:pPr>
            <w:r w:rsidRPr="0087232B">
              <w:rPr>
                <w:sz w:val="20"/>
                <w:szCs w:val="20"/>
                <w:lang w:val="nl-BE"/>
              </w:rPr>
              <w:t>het bedrag van de commissie op de transferprijs van een speler wordt betaald via of op een rekening in een ander land dan de plaats van vestiging van de makelaar;</w:t>
            </w:r>
          </w:p>
          <w:p w14:paraId="327DD50B" w14:textId="77777777" w:rsidR="003576FE" w:rsidRPr="0087232B" w:rsidRDefault="003576FE" w:rsidP="003576FE">
            <w:pPr>
              <w:pStyle w:val="Paragraphedeliste"/>
              <w:numPr>
                <w:ilvl w:val="0"/>
                <w:numId w:val="8"/>
              </w:numPr>
              <w:jc w:val="both"/>
              <w:rPr>
                <w:sz w:val="20"/>
                <w:szCs w:val="20"/>
                <w:lang w:val="nl-BE"/>
              </w:rPr>
            </w:pPr>
            <w:r w:rsidRPr="0087232B">
              <w:rPr>
                <w:sz w:val="20"/>
                <w:szCs w:val="20"/>
                <w:lang w:val="nl-BE"/>
              </w:rPr>
              <w:t>de makelaar is niet geregistreerd bij een sportfederatie;</w:t>
            </w:r>
          </w:p>
          <w:p w14:paraId="2062D2C0" w14:textId="77777777" w:rsidR="003576FE" w:rsidRPr="008B0ED7" w:rsidRDefault="003576FE" w:rsidP="00F36389">
            <w:pPr>
              <w:jc w:val="both"/>
              <w:rPr>
                <w:sz w:val="20"/>
                <w:szCs w:val="20"/>
                <w:lang w:val="nl-BE"/>
              </w:rPr>
            </w:pPr>
            <w:r w:rsidRPr="0087232B">
              <w:rPr>
                <w:sz w:val="20"/>
                <w:szCs w:val="20"/>
                <w:u w:val="single"/>
                <w:lang w:val="nl-BE"/>
              </w:rPr>
              <w:t>6° voor wat betreft een "cliënt - huurder</w:t>
            </w:r>
            <w:proofErr w:type="gramStart"/>
            <w:r w:rsidRPr="0087232B">
              <w:rPr>
                <w:sz w:val="20"/>
                <w:szCs w:val="20"/>
                <w:u w:val="single"/>
                <w:lang w:val="nl-BE"/>
              </w:rPr>
              <w:t>":</w:t>
            </w:r>
            <w:r w:rsidRPr="008B0ED7">
              <w:rPr>
                <w:sz w:val="20"/>
                <w:szCs w:val="20"/>
                <w:lang w:val="nl-BE"/>
              </w:rPr>
              <w:t xml:space="preserve">  de</w:t>
            </w:r>
            <w:proofErr w:type="gramEnd"/>
            <w:r w:rsidRPr="008B0ED7">
              <w:rPr>
                <w:sz w:val="20"/>
                <w:szCs w:val="20"/>
                <w:lang w:val="nl-BE"/>
              </w:rPr>
              <w:t xml:space="preserve"> cliënt vraagt om in het stadion gedomicilieerd te zijn;</w:t>
            </w:r>
          </w:p>
          <w:p w14:paraId="0A3BDBBB" w14:textId="77777777" w:rsidR="003576FE" w:rsidRPr="0087232B" w:rsidRDefault="003576FE" w:rsidP="00F36389">
            <w:pPr>
              <w:jc w:val="both"/>
              <w:rPr>
                <w:sz w:val="20"/>
                <w:szCs w:val="20"/>
                <w:u w:val="single"/>
                <w:lang w:val="nl-BE"/>
              </w:rPr>
            </w:pPr>
            <w:r w:rsidRPr="0087232B">
              <w:rPr>
                <w:sz w:val="20"/>
                <w:szCs w:val="20"/>
                <w:u w:val="single"/>
                <w:lang w:val="nl-BE"/>
              </w:rPr>
              <w:t>7° voor wat betreft de verrichtingen:</w:t>
            </w:r>
          </w:p>
          <w:p w14:paraId="35694F74" w14:textId="77777777" w:rsidR="003576FE" w:rsidRPr="0087232B" w:rsidRDefault="003576FE" w:rsidP="003576FE">
            <w:pPr>
              <w:pStyle w:val="Paragraphedeliste"/>
              <w:numPr>
                <w:ilvl w:val="0"/>
                <w:numId w:val="9"/>
              </w:numPr>
              <w:jc w:val="both"/>
              <w:rPr>
                <w:sz w:val="20"/>
                <w:szCs w:val="20"/>
                <w:lang w:val="nl-BE"/>
              </w:rPr>
            </w:pPr>
            <w:r w:rsidRPr="0087232B">
              <w:rPr>
                <w:sz w:val="20"/>
                <w:szCs w:val="20"/>
                <w:lang w:val="nl-BE"/>
              </w:rPr>
              <w:t>de betalingen worden uitgevoerd vanaf of naar een rekening die wordt beheerd door een financiële instelling die is gevestigd in een land vermeld in de door de FOD Financiën bijgehouden lijst van landen met een hoog risico (https://financien.belgium.be/nl/landen-met-een-hoog-risico), of in een land vermeld in artikel 179 van het koninklijk besluit van 27 augustus 1993 tot uitvoering van het Wetboek van de inkomstenbelastingen 1992;</w:t>
            </w:r>
          </w:p>
          <w:p w14:paraId="2419E9A9" w14:textId="77777777" w:rsidR="003576FE" w:rsidRDefault="003576FE" w:rsidP="003576FE">
            <w:pPr>
              <w:pStyle w:val="Paragraphedeliste"/>
              <w:numPr>
                <w:ilvl w:val="0"/>
                <w:numId w:val="9"/>
              </w:numPr>
              <w:jc w:val="both"/>
              <w:rPr>
                <w:sz w:val="20"/>
                <w:szCs w:val="20"/>
                <w:lang w:val="nl-BE"/>
              </w:rPr>
            </w:pPr>
            <w:r w:rsidRPr="0087232B">
              <w:rPr>
                <w:sz w:val="20"/>
                <w:szCs w:val="20"/>
                <w:lang w:val="nl-BE"/>
              </w:rPr>
              <w:t>de betalingen zijn economisch of fiscaal incoherent en vertonen meerdere ongebruikelijke kenmerken; bijvoorbeeld de betalingen worden niet uitgevoerd vanaf een van de bankrekeningen van de cliënt, maar vanaf een rekening van een derde die geen enkele link heeft met de cliënt als onderneming.</w:t>
            </w:r>
          </w:p>
          <w:p w14:paraId="1125CE0A" w14:textId="77777777" w:rsidR="003576FE" w:rsidRPr="00FF4B05" w:rsidRDefault="003576FE" w:rsidP="00F36389">
            <w:pPr>
              <w:jc w:val="both"/>
              <w:rPr>
                <w:sz w:val="20"/>
                <w:szCs w:val="20"/>
                <w:lang w:val="nl-BE"/>
              </w:rPr>
            </w:pPr>
          </w:p>
          <w:p w14:paraId="725E20B5" w14:textId="77777777" w:rsidR="003576FE" w:rsidRPr="00665127" w:rsidRDefault="003576FE" w:rsidP="00F36389">
            <w:pPr>
              <w:jc w:val="both"/>
              <w:rPr>
                <w:sz w:val="20"/>
                <w:szCs w:val="20"/>
                <w:u w:val="single"/>
                <w:lang w:val="nl-BE"/>
              </w:rPr>
            </w:pPr>
            <w:r w:rsidRPr="00665127">
              <w:rPr>
                <w:sz w:val="20"/>
                <w:szCs w:val="20"/>
                <w:u w:val="single"/>
                <w:lang w:val="nl-BE"/>
              </w:rPr>
              <w:t>De factoren die het aangaan van een zakelijke relatie of het sluiten van een overeenkomst verhinderen zijn in het bijzonder de volgende:</w:t>
            </w:r>
          </w:p>
          <w:p w14:paraId="2019C01C" w14:textId="77777777" w:rsidR="003576FE" w:rsidRPr="00665127" w:rsidRDefault="003576FE" w:rsidP="003576FE">
            <w:pPr>
              <w:pStyle w:val="Paragraphedeliste"/>
              <w:numPr>
                <w:ilvl w:val="0"/>
                <w:numId w:val="10"/>
              </w:numPr>
              <w:jc w:val="both"/>
              <w:rPr>
                <w:sz w:val="20"/>
                <w:szCs w:val="20"/>
                <w:lang w:val="nl-BE"/>
              </w:rPr>
            </w:pPr>
            <w:r w:rsidRPr="00665127">
              <w:rPr>
                <w:sz w:val="20"/>
                <w:szCs w:val="20"/>
                <w:lang w:val="nl-BE"/>
              </w:rPr>
              <w:t>het is niet mogelijk de cliënt, zijn lasthebber of een uiteindelijke begunstigde te identificeren of hun identiteit te verifiëren op het in artikel 30 of 31 van de wet bepaalde tijdstip, overeenkomstig artikel 33, § 1, van de wet;</w:t>
            </w:r>
          </w:p>
          <w:p w14:paraId="16EBAB7F" w14:textId="77777777" w:rsidR="003576FE" w:rsidRPr="00665127" w:rsidRDefault="003576FE" w:rsidP="003576FE">
            <w:pPr>
              <w:pStyle w:val="Paragraphedeliste"/>
              <w:numPr>
                <w:ilvl w:val="0"/>
                <w:numId w:val="10"/>
              </w:numPr>
              <w:jc w:val="both"/>
              <w:rPr>
                <w:sz w:val="20"/>
                <w:szCs w:val="20"/>
                <w:lang w:val="nl-BE"/>
              </w:rPr>
            </w:pPr>
            <w:r w:rsidRPr="00665127">
              <w:rPr>
                <w:sz w:val="20"/>
                <w:szCs w:val="20"/>
                <w:lang w:val="nl-BE"/>
              </w:rPr>
              <w:t>het is niet mogelijk de in artikel 21 van de wet bedoelde kenmerken van de cliënt, zijn lasthebber of een uiteindelijke begunstigde te identificeren op het in artikel 30 of 31 van de wet bepaalde tijdstip, overeenkomstig artikel 34, § 3, van de wet;</w:t>
            </w:r>
          </w:p>
          <w:p w14:paraId="6A1ED8E3" w14:textId="77777777" w:rsidR="003576FE" w:rsidRPr="00665127" w:rsidRDefault="003576FE" w:rsidP="003576FE">
            <w:pPr>
              <w:pStyle w:val="Paragraphedeliste"/>
              <w:numPr>
                <w:ilvl w:val="0"/>
                <w:numId w:val="10"/>
              </w:numPr>
              <w:jc w:val="both"/>
              <w:rPr>
                <w:sz w:val="20"/>
                <w:szCs w:val="20"/>
                <w:lang w:val="nl-BE"/>
              </w:rPr>
            </w:pPr>
            <w:r w:rsidRPr="00665127">
              <w:rPr>
                <w:sz w:val="20"/>
                <w:szCs w:val="20"/>
                <w:lang w:val="nl-BE"/>
              </w:rPr>
              <w:t>de cliënt of zijn lasthebber geeft aan of laat duidelijk blijken dat hij geen andere betaalmiddelen dan contanten wenst te gebruiken voor een bedrag hoger dan het door artikel 67 van de wet toegelaten bedrag;</w:t>
            </w:r>
          </w:p>
          <w:p w14:paraId="3C736DAF" w14:textId="77777777" w:rsidR="003576FE" w:rsidRPr="00665127" w:rsidRDefault="003576FE" w:rsidP="003576FE">
            <w:pPr>
              <w:pStyle w:val="Paragraphedeliste"/>
              <w:numPr>
                <w:ilvl w:val="0"/>
                <w:numId w:val="10"/>
              </w:numPr>
              <w:jc w:val="both"/>
              <w:rPr>
                <w:sz w:val="20"/>
                <w:szCs w:val="20"/>
                <w:lang w:val="nl-BE"/>
              </w:rPr>
            </w:pPr>
            <w:r w:rsidRPr="00665127">
              <w:rPr>
                <w:sz w:val="20"/>
                <w:szCs w:val="20"/>
                <w:lang w:val="nl-BE"/>
              </w:rPr>
              <w:t>de cliënt, de lasthebber of een uiteindelijke begunstigde komt voor op de door de FOD Financiën bijgehouden lijst van personen of entiteiten op wie bevriezingsmaatregelen van toepassing zijn.</w:t>
            </w:r>
          </w:p>
          <w:p w14:paraId="334397A9" w14:textId="77777777" w:rsidR="003576FE" w:rsidRDefault="003576FE" w:rsidP="00F36389">
            <w:pPr>
              <w:jc w:val="both"/>
              <w:rPr>
                <w:sz w:val="24"/>
                <w:szCs w:val="24"/>
                <w:lang w:val="nl-BE"/>
              </w:rPr>
            </w:pPr>
          </w:p>
        </w:tc>
      </w:tr>
    </w:tbl>
    <w:p w14:paraId="34E45FA1" w14:textId="77777777" w:rsidR="003576FE" w:rsidRPr="006957F1" w:rsidRDefault="003576FE" w:rsidP="003576FE">
      <w:pPr>
        <w:pStyle w:val="Paragraphedeliste"/>
        <w:ind w:left="1083"/>
        <w:jc w:val="both"/>
        <w:rPr>
          <w:sz w:val="24"/>
          <w:szCs w:val="24"/>
          <w:lang w:val="nl-BE"/>
        </w:rPr>
      </w:pPr>
    </w:p>
    <w:sectPr w:rsidR="003576FE" w:rsidRPr="00695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41B9" w14:textId="77777777" w:rsidR="004F2DE5" w:rsidRDefault="004F2DE5" w:rsidP="005C0D9E">
      <w:pPr>
        <w:spacing w:after="0" w:line="240" w:lineRule="auto"/>
      </w:pPr>
      <w:r>
        <w:separator/>
      </w:r>
    </w:p>
  </w:endnote>
  <w:endnote w:type="continuationSeparator" w:id="0">
    <w:p w14:paraId="676C1977" w14:textId="77777777" w:rsidR="004F2DE5" w:rsidRDefault="004F2DE5" w:rsidP="005C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F62EE" w14:textId="77777777" w:rsidR="004F2DE5" w:rsidRDefault="004F2DE5" w:rsidP="005C0D9E">
      <w:pPr>
        <w:spacing w:after="0" w:line="240" w:lineRule="auto"/>
      </w:pPr>
      <w:r>
        <w:separator/>
      </w:r>
    </w:p>
  </w:footnote>
  <w:footnote w:type="continuationSeparator" w:id="0">
    <w:p w14:paraId="7EF727B8" w14:textId="77777777" w:rsidR="004F2DE5" w:rsidRDefault="004F2DE5" w:rsidP="005C0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534"/>
    <w:multiLevelType w:val="hybridMultilevel"/>
    <w:tmpl w:val="4752824A"/>
    <w:lvl w:ilvl="0" w:tplc="FFFFFFFF">
      <w:start w:val="1"/>
      <w:numFmt w:val="lowerLetter"/>
      <w:lvlText w:val="%1)"/>
      <w:lvlJc w:val="left"/>
      <w:pPr>
        <w:ind w:left="1443" w:hanging="360"/>
      </w:pPr>
    </w:lvl>
    <w:lvl w:ilvl="1" w:tplc="2000001B">
      <w:start w:val="1"/>
      <w:numFmt w:val="lowerRoman"/>
      <w:lvlText w:val="%2."/>
      <w:lvlJc w:val="right"/>
      <w:pPr>
        <w:ind w:left="2163" w:hanging="360"/>
      </w:pPr>
    </w:lvl>
    <w:lvl w:ilvl="2" w:tplc="FFFFFFFF" w:tentative="1">
      <w:start w:val="1"/>
      <w:numFmt w:val="lowerRoman"/>
      <w:lvlText w:val="%3."/>
      <w:lvlJc w:val="right"/>
      <w:pPr>
        <w:ind w:left="2883" w:hanging="180"/>
      </w:pPr>
    </w:lvl>
    <w:lvl w:ilvl="3" w:tplc="FFFFFFFF" w:tentative="1">
      <w:start w:val="1"/>
      <w:numFmt w:val="decimal"/>
      <w:lvlText w:val="%4."/>
      <w:lvlJc w:val="left"/>
      <w:pPr>
        <w:ind w:left="3603" w:hanging="360"/>
      </w:pPr>
    </w:lvl>
    <w:lvl w:ilvl="4" w:tplc="FFFFFFFF" w:tentative="1">
      <w:start w:val="1"/>
      <w:numFmt w:val="lowerLetter"/>
      <w:lvlText w:val="%5."/>
      <w:lvlJc w:val="left"/>
      <w:pPr>
        <w:ind w:left="4323" w:hanging="360"/>
      </w:pPr>
    </w:lvl>
    <w:lvl w:ilvl="5" w:tplc="FFFFFFFF" w:tentative="1">
      <w:start w:val="1"/>
      <w:numFmt w:val="lowerRoman"/>
      <w:lvlText w:val="%6."/>
      <w:lvlJc w:val="right"/>
      <w:pPr>
        <w:ind w:left="5043" w:hanging="180"/>
      </w:pPr>
    </w:lvl>
    <w:lvl w:ilvl="6" w:tplc="FFFFFFFF" w:tentative="1">
      <w:start w:val="1"/>
      <w:numFmt w:val="decimal"/>
      <w:lvlText w:val="%7."/>
      <w:lvlJc w:val="left"/>
      <w:pPr>
        <w:ind w:left="5763" w:hanging="360"/>
      </w:pPr>
    </w:lvl>
    <w:lvl w:ilvl="7" w:tplc="FFFFFFFF" w:tentative="1">
      <w:start w:val="1"/>
      <w:numFmt w:val="lowerLetter"/>
      <w:lvlText w:val="%8."/>
      <w:lvlJc w:val="left"/>
      <w:pPr>
        <w:ind w:left="6483" w:hanging="360"/>
      </w:pPr>
    </w:lvl>
    <w:lvl w:ilvl="8" w:tplc="FFFFFFFF" w:tentative="1">
      <w:start w:val="1"/>
      <w:numFmt w:val="lowerRoman"/>
      <w:lvlText w:val="%9."/>
      <w:lvlJc w:val="right"/>
      <w:pPr>
        <w:ind w:left="7203" w:hanging="180"/>
      </w:pPr>
    </w:lvl>
  </w:abstractNum>
  <w:abstractNum w:abstractNumId="1" w15:restartNumberingAfterBreak="0">
    <w:nsid w:val="1F1A5DA9"/>
    <w:multiLevelType w:val="hybridMultilevel"/>
    <w:tmpl w:val="DEF4CCA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5B7867"/>
    <w:multiLevelType w:val="hybridMultilevel"/>
    <w:tmpl w:val="A9408B2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1F3555"/>
    <w:multiLevelType w:val="hybridMultilevel"/>
    <w:tmpl w:val="6DAA8468"/>
    <w:lvl w:ilvl="0" w:tplc="08130003">
      <w:start w:val="1"/>
      <w:numFmt w:val="bullet"/>
      <w:lvlText w:val="o"/>
      <w:lvlJc w:val="left"/>
      <w:pPr>
        <w:ind w:left="1074" w:hanging="360"/>
      </w:pPr>
      <w:rPr>
        <w:rFonts w:ascii="Courier New" w:hAnsi="Courier New" w:cs="Courier New" w:hint="default"/>
      </w:rPr>
    </w:lvl>
    <w:lvl w:ilvl="1" w:tplc="08130003" w:tentative="1">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4" w15:restartNumberingAfterBreak="0">
    <w:nsid w:val="675E49AD"/>
    <w:multiLevelType w:val="hybridMultilevel"/>
    <w:tmpl w:val="6638FD4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B060CED"/>
    <w:multiLevelType w:val="hybridMultilevel"/>
    <w:tmpl w:val="478E615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CE312F9"/>
    <w:multiLevelType w:val="hybridMultilevel"/>
    <w:tmpl w:val="BD12FC44"/>
    <w:lvl w:ilvl="0" w:tplc="9B2C7540">
      <w:numFmt w:val="bullet"/>
      <w:lvlText w:val="-"/>
      <w:lvlJc w:val="left"/>
      <w:pPr>
        <w:ind w:left="363" w:hanging="360"/>
      </w:pPr>
      <w:rPr>
        <w:rFonts w:ascii="Calibri" w:eastAsiaTheme="minorHAnsi" w:hAnsi="Calibri" w:cs="Calibri" w:hint="default"/>
      </w:rPr>
    </w:lvl>
    <w:lvl w:ilvl="1" w:tplc="040C0003">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7" w15:restartNumberingAfterBreak="0">
    <w:nsid w:val="758C5308"/>
    <w:multiLevelType w:val="hybridMultilevel"/>
    <w:tmpl w:val="2D127FAA"/>
    <w:lvl w:ilvl="0" w:tplc="20000017">
      <w:start w:val="1"/>
      <w:numFmt w:val="lowerLetter"/>
      <w:lvlText w:val="%1)"/>
      <w:lvlJc w:val="left"/>
      <w:pPr>
        <w:ind w:left="1443" w:hanging="360"/>
      </w:pPr>
    </w:lvl>
    <w:lvl w:ilvl="1" w:tplc="20000019">
      <w:start w:val="1"/>
      <w:numFmt w:val="lowerLetter"/>
      <w:lvlText w:val="%2."/>
      <w:lvlJc w:val="left"/>
      <w:pPr>
        <w:ind w:left="2163" w:hanging="360"/>
      </w:pPr>
    </w:lvl>
    <w:lvl w:ilvl="2" w:tplc="2000001B" w:tentative="1">
      <w:start w:val="1"/>
      <w:numFmt w:val="lowerRoman"/>
      <w:lvlText w:val="%3."/>
      <w:lvlJc w:val="right"/>
      <w:pPr>
        <w:ind w:left="2883" w:hanging="180"/>
      </w:pPr>
    </w:lvl>
    <w:lvl w:ilvl="3" w:tplc="2000000F" w:tentative="1">
      <w:start w:val="1"/>
      <w:numFmt w:val="decimal"/>
      <w:lvlText w:val="%4."/>
      <w:lvlJc w:val="left"/>
      <w:pPr>
        <w:ind w:left="3603" w:hanging="360"/>
      </w:pPr>
    </w:lvl>
    <w:lvl w:ilvl="4" w:tplc="20000019" w:tentative="1">
      <w:start w:val="1"/>
      <w:numFmt w:val="lowerLetter"/>
      <w:lvlText w:val="%5."/>
      <w:lvlJc w:val="left"/>
      <w:pPr>
        <w:ind w:left="4323" w:hanging="360"/>
      </w:pPr>
    </w:lvl>
    <w:lvl w:ilvl="5" w:tplc="2000001B" w:tentative="1">
      <w:start w:val="1"/>
      <w:numFmt w:val="lowerRoman"/>
      <w:lvlText w:val="%6."/>
      <w:lvlJc w:val="right"/>
      <w:pPr>
        <w:ind w:left="5043" w:hanging="180"/>
      </w:pPr>
    </w:lvl>
    <w:lvl w:ilvl="6" w:tplc="2000000F" w:tentative="1">
      <w:start w:val="1"/>
      <w:numFmt w:val="decimal"/>
      <w:lvlText w:val="%7."/>
      <w:lvlJc w:val="left"/>
      <w:pPr>
        <w:ind w:left="5763" w:hanging="360"/>
      </w:pPr>
    </w:lvl>
    <w:lvl w:ilvl="7" w:tplc="20000019" w:tentative="1">
      <w:start w:val="1"/>
      <w:numFmt w:val="lowerLetter"/>
      <w:lvlText w:val="%8."/>
      <w:lvlJc w:val="left"/>
      <w:pPr>
        <w:ind w:left="6483" w:hanging="360"/>
      </w:pPr>
    </w:lvl>
    <w:lvl w:ilvl="8" w:tplc="2000001B" w:tentative="1">
      <w:start w:val="1"/>
      <w:numFmt w:val="lowerRoman"/>
      <w:lvlText w:val="%9."/>
      <w:lvlJc w:val="right"/>
      <w:pPr>
        <w:ind w:left="7203" w:hanging="180"/>
      </w:pPr>
    </w:lvl>
  </w:abstractNum>
  <w:abstractNum w:abstractNumId="8" w15:restartNumberingAfterBreak="0">
    <w:nsid w:val="7ADE5FAA"/>
    <w:multiLevelType w:val="hybridMultilevel"/>
    <w:tmpl w:val="B1EAD8C6"/>
    <w:lvl w:ilvl="0" w:tplc="8E1064EA">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9" w15:restartNumberingAfterBreak="0">
    <w:nsid w:val="7B7C1AB1"/>
    <w:multiLevelType w:val="hybridMultilevel"/>
    <w:tmpl w:val="3A8683C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901462">
    <w:abstractNumId w:val="6"/>
  </w:num>
  <w:num w:numId="2" w16cid:durableId="2026204045">
    <w:abstractNumId w:val="3"/>
  </w:num>
  <w:num w:numId="3" w16cid:durableId="303857498">
    <w:abstractNumId w:val="7"/>
  </w:num>
  <w:num w:numId="4" w16cid:durableId="1247567114">
    <w:abstractNumId w:val="0"/>
  </w:num>
  <w:num w:numId="5" w16cid:durableId="1219703412">
    <w:abstractNumId w:val="2"/>
  </w:num>
  <w:num w:numId="6" w16cid:durableId="1899125278">
    <w:abstractNumId w:val="5"/>
  </w:num>
  <w:num w:numId="7" w16cid:durableId="57174407">
    <w:abstractNumId w:val="1"/>
  </w:num>
  <w:num w:numId="8" w16cid:durableId="1319458654">
    <w:abstractNumId w:val="9"/>
  </w:num>
  <w:num w:numId="9" w16cid:durableId="1039745077">
    <w:abstractNumId w:val="4"/>
  </w:num>
  <w:num w:numId="10" w16cid:durableId="170486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9E"/>
    <w:rsid w:val="00042BD4"/>
    <w:rsid w:val="0009016E"/>
    <w:rsid w:val="000E1108"/>
    <w:rsid w:val="000F4540"/>
    <w:rsid w:val="00110CE7"/>
    <w:rsid w:val="001313E2"/>
    <w:rsid w:val="00186588"/>
    <w:rsid w:val="001A0C9A"/>
    <w:rsid w:val="001A4D4C"/>
    <w:rsid w:val="001B0901"/>
    <w:rsid w:val="001B24AE"/>
    <w:rsid w:val="001C7A3E"/>
    <w:rsid w:val="001D5124"/>
    <w:rsid w:val="001D596D"/>
    <w:rsid w:val="002101DC"/>
    <w:rsid w:val="002265E3"/>
    <w:rsid w:val="00237059"/>
    <w:rsid w:val="002A7935"/>
    <w:rsid w:val="002B3B65"/>
    <w:rsid w:val="002C4657"/>
    <w:rsid w:val="00310392"/>
    <w:rsid w:val="00326D4F"/>
    <w:rsid w:val="003576FE"/>
    <w:rsid w:val="003D1F4E"/>
    <w:rsid w:val="003D4348"/>
    <w:rsid w:val="003D648D"/>
    <w:rsid w:val="003F70C1"/>
    <w:rsid w:val="004563A2"/>
    <w:rsid w:val="00486F0E"/>
    <w:rsid w:val="004D3C7E"/>
    <w:rsid w:val="004F2DE5"/>
    <w:rsid w:val="004F47E4"/>
    <w:rsid w:val="00505796"/>
    <w:rsid w:val="005117CC"/>
    <w:rsid w:val="00553816"/>
    <w:rsid w:val="00575A49"/>
    <w:rsid w:val="005C0D9E"/>
    <w:rsid w:val="005D2F35"/>
    <w:rsid w:val="00640302"/>
    <w:rsid w:val="006957F1"/>
    <w:rsid w:val="006D6532"/>
    <w:rsid w:val="007058D6"/>
    <w:rsid w:val="00707FAB"/>
    <w:rsid w:val="00711069"/>
    <w:rsid w:val="00796377"/>
    <w:rsid w:val="007B2A49"/>
    <w:rsid w:val="007B6D00"/>
    <w:rsid w:val="007F61A5"/>
    <w:rsid w:val="00817DE2"/>
    <w:rsid w:val="00821637"/>
    <w:rsid w:val="00830771"/>
    <w:rsid w:val="00845F59"/>
    <w:rsid w:val="00865AAA"/>
    <w:rsid w:val="008B43E2"/>
    <w:rsid w:val="008C742A"/>
    <w:rsid w:val="008E129D"/>
    <w:rsid w:val="00903B68"/>
    <w:rsid w:val="00932133"/>
    <w:rsid w:val="009476E2"/>
    <w:rsid w:val="00970A47"/>
    <w:rsid w:val="0097600C"/>
    <w:rsid w:val="009A6379"/>
    <w:rsid w:val="009D7883"/>
    <w:rsid w:val="009F0486"/>
    <w:rsid w:val="009F5BE8"/>
    <w:rsid w:val="00A176B0"/>
    <w:rsid w:val="00A3013D"/>
    <w:rsid w:val="00A94056"/>
    <w:rsid w:val="00AA1024"/>
    <w:rsid w:val="00B47A92"/>
    <w:rsid w:val="00B737B0"/>
    <w:rsid w:val="00BD1706"/>
    <w:rsid w:val="00C07B92"/>
    <w:rsid w:val="00CC27DB"/>
    <w:rsid w:val="00D04FB9"/>
    <w:rsid w:val="00D076BD"/>
    <w:rsid w:val="00D2393F"/>
    <w:rsid w:val="00D97880"/>
    <w:rsid w:val="00DD2AE1"/>
    <w:rsid w:val="00DF5E99"/>
    <w:rsid w:val="00E35115"/>
    <w:rsid w:val="00E40200"/>
    <w:rsid w:val="00E53F56"/>
    <w:rsid w:val="00E90BF0"/>
    <w:rsid w:val="00EC53CC"/>
    <w:rsid w:val="00F00A09"/>
    <w:rsid w:val="00F04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D608"/>
  <w15:chartTrackingRefBased/>
  <w15:docId w15:val="{5057EBCB-15D1-47A2-9EC6-D2531F5B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0D9E"/>
    <w:pPr>
      <w:tabs>
        <w:tab w:val="center" w:pos="4536"/>
        <w:tab w:val="right" w:pos="9072"/>
      </w:tabs>
      <w:spacing w:after="0" w:line="240" w:lineRule="auto"/>
    </w:pPr>
  </w:style>
  <w:style w:type="character" w:customStyle="1" w:styleId="En-tteCar">
    <w:name w:val="En-tête Car"/>
    <w:basedOn w:val="Policepardfaut"/>
    <w:link w:val="En-tte"/>
    <w:uiPriority w:val="99"/>
    <w:rsid w:val="005C0D9E"/>
    <w:rPr>
      <w:lang w:val="fr-BE"/>
    </w:rPr>
  </w:style>
  <w:style w:type="paragraph" w:styleId="Pieddepage">
    <w:name w:val="footer"/>
    <w:basedOn w:val="Normal"/>
    <w:link w:val="PieddepageCar"/>
    <w:uiPriority w:val="99"/>
    <w:unhideWhenUsed/>
    <w:rsid w:val="005C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D9E"/>
    <w:rPr>
      <w:lang w:val="fr-BE"/>
    </w:rPr>
  </w:style>
  <w:style w:type="paragraph" w:styleId="Paragraphedeliste">
    <w:name w:val="List Paragraph"/>
    <w:basedOn w:val="Normal"/>
    <w:uiPriority w:val="34"/>
    <w:qFormat/>
    <w:rsid w:val="005C0D9E"/>
    <w:pPr>
      <w:ind w:left="720"/>
      <w:contextualSpacing/>
    </w:pPr>
  </w:style>
  <w:style w:type="paragraph" w:styleId="Rvision">
    <w:name w:val="Revision"/>
    <w:hidden/>
    <w:uiPriority w:val="99"/>
    <w:semiHidden/>
    <w:rsid w:val="00A3013D"/>
    <w:pPr>
      <w:spacing w:after="0" w:line="240" w:lineRule="auto"/>
    </w:pPr>
    <w:rPr>
      <w:lang w:val="fr-BE"/>
    </w:rPr>
  </w:style>
  <w:style w:type="character" w:styleId="Marquedecommentaire">
    <w:name w:val="annotation reference"/>
    <w:basedOn w:val="Policepardfaut"/>
    <w:uiPriority w:val="99"/>
    <w:semiHidden/>
    <w:unhideWhenUsed/>
    <w:rsid w:val="009F0486"/>
    <w:rPr>
      <w:sz w:val="16"/>
      <w:szCs w:val="16"/>
    </w:rPr>
  </w:style>
  <w:style w:type="paragraph" w:styleId="Commentaire">
    <w:name w:val="annotation text"/>
    <w:basedOn w:val="Normal"/>
    <w:link w:val="CommentaireCar"/>
    <w:uiPriority w:val="99"/>
    <w:unhideWhenUsed/>
    <w:rsid w:val="009F0486"/>
    <w:pPr>
      <w:spacing w:line="240" w:lineRule="auto"/>
    </w:pPr>
    <w:rPr>
      <w:sz w:val="20"/>
      <w:szCs w:val="20"/>
    </w:rPr>
  </w:style>
  <w:style w:type="character" w:customStyle="1" w:styleId="CommentaireCar">
    <w:name w:val="Commentaire Car"/>
    <w:basedOn w:val="Policepardfaut"/>
    <w:link w:val="Commentaire"/>
    <w:uiPriority w:val="99"/>
    <w:rsid w:val="009F0486"/>
    <w:rPr>
      <w:sz w:val="20"/>
      <w:szCs w:val="20"/>
      <w:lang w:val="fr-BE"/>
    </w:rPr>
  </w:style>
  <w:style w:type="paragraph" w:styleId="Objetducommentaire">
    <w:name w:val="annotation subject"/>
    <w:basedOn w:val="Commentaire"/>
    <w:next w:val="Commentaire"/>
    <w:link w:val="ObjetducommentaireCar"/>
    <w:uiPriority w:val="99"/>
    <w:semiHidden/>
    <w:unhideWhenUsed/>
    <w:rsid w:val="009F0486"/>
    <w:rPr>
      <w:b/>
      <w:bCs/>
    </w:rPr>
  </w:style>
  <w:style w:type="character" w:customStyle="1" w:styleId="ObjetducommentaireCar">
    <w:name w:val="Objet du commentaire Car"/>
    <w:basedOn w:val="CommentaireCar"/>
    <w:link w:val="Objetducommentaire"/>
    <w:uiPriority w:val="99"/>
    <w:semiHidden/>
    <w:rsid w:val="009F0486"/>
    <w:rPr>
      <w:b/>
      <w:bCs/>
      <w:sz w:val="20"/>
      <w:szCs w:val="20"/>
      <w:lang w:val="fr-BE"/>
    </w:rPr>
  </w:style>
  <w:style w:type="character" w:styleId="Lienhypertexte">
    <w:name w:val="Hyperlink"/>
    <w:basedOn w:val="Policepardfaut"/>
    <w:uiPriority w:val="99"/>
    <w:unhideWhenUsed/>
    <w:rsid w:val="003576FE"/>
    <w:rPr>
      <w:color w:val="0563C1" w:themeColor="hyperlink"/>
      <w:u w:val="single"/>
    </w:rPr>
  </w:style>
  <w:style w:type="table" w:styleId="Grilledutableau">
    <w:name w:val="Table Grid"/>
    <w:basedOn w:val="TableauNormal"/>
    <w:uiPriority w:val="39"/>
    <w:rsid w:val="0035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ancien.belgium.be/nl/landen-met-een-hoog-risico" TargetMode="External"/><Relationship Id="rId5" Type="http://schemas.openxmlformats.org/officeDocument/2006/relationships/styles" Target="styles.xml"/><Relationship Id="rId10" Type="http://schemas.openxmlformats.org/officeDocument/2006/relationships/hyperlink" Target="https://www.ejustice.just.fgov.be/cgi_loi/change_lg.pl?language=nl&amp;la=N&amp;cn=2023032006&amp;table_name=w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DFD2105B-2B5A-4670-84EF-D7F2D9A6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EBDD-D86B-4E5C-9AFD-481735E9E40E}">
  <ds:schemaRefs>
    <ds:schemaRef ds:uri="http://schemas.microsoft.com/sharepoint/v3/contenttype/forms"/>
  </ds:schemaRefs>
</ds:datastoreItem>
</file>

<file path=customXml/itemProps3.xml><?xml version="1.0" encoding="utf-8"?>
<ds:datastoreItem xmlns:ds="http://schemas.openxmlformats.org/officeDocument/2006/customXml" ds:itemID="{53D43C53-FA95-4151-ADF3-BC097D104213}">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1365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bonhome</dc:creator>
  <cp:keywords>, docId:3DFBC6B53AE87C618A51BC642252BC59</cp:keywords>
  <dc:description/>
  <cp:lastModifiedBy>Camille Luxen</cp:lastModifiedBy>
  <cp:revision>50</cp:revision>
  <dcterms:created xsi:type="dcterms:W3CDTF">2023-02-15T08:30:00Z</dcterms:created>
  <dcterms:modified xsi:type="dcterms:W3CDTF">2024-07-15T10:04:00Z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