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9A44" w14:textId="11ACE919" w:rsidR="003D648D" w:rsidRPr="00F04BF2" w:rsidRDefault="005C0D9E" w:rsidP="00F04BF2">
      <w:pPr>
        <w:pBdr>
          <w:top w:val="triple" w:sz="4" w:space="1" w:color="4472C4" w:themeColor="accent1"/>
          <w:left w:val="triple" w:sz="4" w:space="4" w:color="4472C4" w:themeColor="accent1"/>
          <w:bottom w:val="triple" w:sz="4" w:space="1" w:color="4472C4" w:themeColor="accent1"/>
          <w:right w:val="triple" w:sz="4" w:space="4" w:color="4472C4" w:themeColor="accent1"/>
        </w:pBdr>
        <w:spacing w:before="120"/>
        <w:rPr>
          <w:sz w:val="32"/>
          <w:szCs w:val="32"/>
        </w:rPr>
      </w:pPr>
      <w:r w:rsidRPr="00F04BF2">
        <w:rPr>
          <w:sz w:val="32"/>
          <w:szCs w:val="32"/>
        </w:rPr>
        <w:t>Typologie des risques AML – Football :</w:t>
      </w:r>
    </w:p>
    <w:p w14:paraId="5C75271F" w14:textId="028D0E1A" w:rsidR="005C0D9E" w:rsidRPr="00F04BF2" w:rsidRDefault="005C0D9E" w:rsidP="00F04BF2">
      <w:pPr>
        <w:pStyle w:val="Paragraphedeliste"/>
        <w:numPr>
          <w:ilvl w:val="0"/>
          <w:numId w:val="1"/>
        </w:numPr>
        <w:spacing w:before="240"/>
        <w:ind w:left="714" w:hanging="357"/>
        <w:rPr>
          <w:color w:val="4472C4" w:themeColor="accent1"/>
          <w:sz w:val="28"/>
          <w:szCs w:val="28"/>
          <w:u w:val="single" w:color="4472C4" w:themeColor="accent1"/>
        </w:rPr>
      </w:pPr>
      <w:r w:rsidRPr="00F04BF2">
        <w:rPr>
          <w:color w:val="4472C4" w:themeColor="accent1"/>
          <w:sz w:val="28"/>
          <w:szCs w:val="28"/>
          <w:u w:val="single" w:color="4472C4" w:themeColor="accent1"/>
        </w:rPr>
        <w:t>Gouvernance :</w:t>
      </w:r>
    </w:p>
    <w:p w14:paraId="7862B4FD" w14:textId="77777777" w:rsidR="00F04BF2" w:rsidRDefault="00F04BF2" w:rsidP="00F04BF2">
      <w:pPr>
        <w:pStyle w:val="Paragraphedeliste"/>
      </w:pPr>
    </w:p>
    <w:p w14:paraId="6909E864" w14:textId="7DC63AEE" w:rsidR="005C0D9E" w:rsidRDefault="005C0D9E" w:rsidP="005C0D9E">
      <w:pPr>
        <w:pStyle w:val="Paragraphedeliste"/>
        <w:numPr>
          <w:ilvl w:val="1"/>
          <w:numId w:val="1"/>
        </w:numPr>
        <w:rPr>
          <w:sz w:val="24"/>
          <w:szCs w:val="24"/>
        </w:rPr>
      </w:pPr>
      <w:r w:rsidRPr="00F04BF2">
        <w:rPr>
          <w:sz w:val="24"/>
          <w:szCs w:val="24"/>
        </w:rPr>
        <w:t>PPE : PPE au sein de l’organe d’administration ou en tant qu’actionnaire (vigilance accrue + origine du patrimoine)</w:t>
      </w:r>
    </w:p>
    <w:p w14:paraId="133968FD" w14:textId="6DCFBE43" w:rsidR="00623CA3" w:rsidRDefault="00E966C8" w:rsidP="005C0D9E">
      <w:pPr>
        <w:pStyle w:val="Paragraphedeliste"/>
        <w:numPr>
          <w:ilvl w:val="1"/>
          <w:numId w:val="1"/>
        </w:numPr>
        <w:rPr>
          <w:sz w:val="24"/>
          <w:szCs w:val="24"/>
        </w:rPr>
      </w:pPr>
      <w:r w:rsidRPr="00E966C8">
        <w:rPr>
          <w:sz w:val="24"/>
          <w:szCs w:val="24"/>
        </w:rPr>
        <w:t>Risque sectoriel : les administrateurs sont actifs dans des secteurs à risque</w:t>
      </w:r>
    </w:p>
    <w:p w14:paraId="35B4D4E3" w14:textId="550A7911" w:rsidR="00E966C8" w:rsidRPr="00F04BF2" w:rsidRDefault="00E966C8" w:rsidP="005C0D9E">
      <w:pPr>
        <w:pStyle w:val="Paragraphedeliste"/>
        <w:numPr>
          <w:ilvl w:val="1"/>
          <w:numId w:val="1"/>
        </w:numPr>
        <w:rPr>
          <w:sz w:val="24"/>
          <w:szCs w:val="24"/>
        </w:rPr>
      </w:pPr>
      <w:r w:rsidRPr="00E966C8">
        <w:rPr>
          <w:sz w:val="24"/>
          <w:szCs w:val="24"/>
        </w:rPr>
        <w:t>Risque géographique : les administrateurs ou actionnaires sont domiciliés dans des pays à risque</w:t>
      </w:r>
    </w:p>
    <w:p w14:paraId="38CFB851" w14:textId="77777777" w:rsidR="00F04BF2" w:rsidRDefault="00F04BF2" w:rsidP="00F04BF2">
      <w:pPr>
        <w:pStyle w:val="Paragraphedeliste"/>
        <w:ind w:left="1440"/>
      </w:pPr>
    </w:p>
    <w:p w14:paraId="69AC5606" w14:textId="13DEDF02" w:rsidR="005C0D9E" w:rsidRPr="00F04BF2" w:rsidRDefault="005C0D9E" w:rsidP="00F04BF2">
      <w:pPr>
        <w:pStyle w:val="Paragraphedeliste"/>
        <w:numPr>
          <w:ilvl w:val="0"/>
          <w:numId w:val="1"/>
        </w:numPr>
        <w:spacing w:before="240"/>
        <w:ind w:left="714" w:hanging="357"/>
        <w:rPr>
          <w:color w:val="4472C4" w:themeColor="accent1"/>
          <w:sz w:val="28"/>
          <w:szCs w:val="28"/>
          <w:u w:val="single" w:color="4472C4" w:themeColor="accent1"/>
        </w:rPr>
      </w:pPr>
      <w:r w:rsidRPr="00F04BF2">
        <w:rPr>
          <w:color w:val="4472C4" w:themeColor="accent1"/>
          <w:sz w:val="28"/>
          <w:szCs w:val="28"/>
          <w:u w:val="single" w:color="4472C4" w:themeColor="accent1"/>
        </w:rPr>
        <w:t>Discontinuité :</w:t>
      </w:r>
    </w:p>
    <w:p w14:paraId="681E128F" w14:textId="77777777" w:rsidR="00F04BF2" w:rsidRDefault="00F04BF2" w:rsidP="00F04BF2">
      <w:pPr>
        <w:pStyle w:val="Paragraphedeliste"/>
      </w:pPr>
    </w:p>
    <w:p w14:paraId="42CC6B58" w14:textId="2843F533" w:rsidR="00796377" w:rsidRDefault="005C0D9E" w:rsidP="00796377">
      <w:pPr>
        <w:pStyle w:val="Paragraphedeliste"/>
        <w:numPr>
          <w:ilvl w:val="1"/>
          <w:numId w:val="1"/>
        </w:numPr>
        <w:rPr>
          <w:sz w:val="24"/>
          <w:szCs w:val="24"/>
        </w:rPr>
      </w:pPr>
      <w:r w:rsidRPr="00F04BF2">
        <w:rPr>
          <w:sz w:val="24"/>
          <w:szCs w:val="24"/>
        </w:rPr>
        <w:t xml:space="preserve">Perte importante : risque de discontinuité (procédure </w:t>
      </w:r>
      <w:r w:rsidR="008067FD">
        <w:rPr>
          <w:sz w:val="24"/>
          <w:szCs w:val="24"/>
        </w:rPr>
        <w:t>CDE</w:t>
      </w:r>
      <w:r w:rsidR="008067FD">
        <w:rPr>
          <w:rStyle w:val="Appelnotedebasdep"/>
          <w:sz w:val="24"/>
          <w:szCs w:val="24"/>
        </w:rPr>
        <w:footnoteReference w:id="1"/>
      </w:r>
      <w:r w:rsidRPr="00F04BF2">
        <w:rPr>
          <w:sz w:val="24"/>
          <w:szCs w:val="24"/>
        </w:rPr>
        <w:t>, procédure d’alarme CSA, procédure ISA 570, lettre de soutien, mention rapport de gestion, choix de l’opinion)</w:t>
      </w:r>
    </w:p>
    <w:p w14:paraId="68920C0F" w14:textId="0DE31459" w:rsidR="008C0494" w:rsidRPr="00F04BF2" w:rsidRDefault="008C0494" w:rsidP="00796377">
      <w:pPr>
        <w:pStyle w:val="Paragraphedeliste"/>
        <w:numPr>
          <w:ilvl w:val="1"/>
          <w:numId w:val="1"/>
        </w:numPr>
        <w:rPr>
          <w:sz w:val="24"/>
          <w:szCs w:val="24"/>
        </w:rPr>
      </w:pPr>
      <w:r w:rsidRPr="008C0494">
        <w:rPr>
          <w:sz w:val="24"/>
          <w:szCs w:val="24"/>
        </w:rPr>
        <w:t xml:space="preserve">Flux de trésorerie entrants après </w:t>
      </w:r>
      <w:r>
        <w:rPr>
          <w:sz w:val="24"/>
          <w:szCs w:val="24"/>
        </w:rPr>
        <w:t>d</w:t>
      </w:r>
      <w:r w:rsidRPr="008C0494">
        <w:rPr>
          <w:sz w:val="24"/>
          <w:szCs w:val="24"/>
        </w:rPr>
        <w:t>es pertes</w:t>
      </w:r>
    </w:p>
    <w:p w14:paraId="73F14049" w14:textId="77777777" w:rsidR="00F04BF2" w:rsidRDefault="00F04BF2" w:rsidP="00F04BF2">
      <w:pPr>
        <w:pStyle w:val="Paragraphedeliste"/>
        <w:ind w:left="1440"/>
      </w:pPr>
    </w:p>
    <w:p w14:paraId="1AB9F0E9" w14:textId="093C2530" w:rsidR="005C0D9E" w:rsidRPr="00F04BF2" w:rsidRDefault="005C0D9E" w:rsidP="00F04BF2">
      <w:pPr>
        <w:pStyle w:val="Paragraphedeliste"/>
        <w:numPr>
          <w:ilvl w:val="0"/>
          <w:numId w:val="1"/>
        </w:numPr>
        <w:spacing w:before="240"/>
        <w:ind w:left="714" w:hanging="357"/>
        <w:rPr>
          <w:color w:val="4472C4" w:themeColor="accent1"/>
          <w:sz w:val="28"/>
          <w:szCs w:val="28"/>
          <w:u w:val="single" w:color="4472C4" w:themeColor="accent1"/>
        </w:rPr>
      </w:pPr>
      <w:r w:rsidRPr="00F04BF2">
        <w:rPr>
          <w:color w:val="4472C4" w:themeColor="accent1"/>
          <w:sz w:val="28"/>
          <w:szCs w:val="28"/>
          <w:u w:val="single" w:color="4472C4" w:themeColor="accent1"/>
        </w:rPr>
        <w:t xml:space="preserve">Recettes : </w:t>
      </w:r>
    </w:p>
    <w:p w14:paraId="636B4EDE" w14:textId="77777777" w:rsidR="00F04BF2" w:rsidRDefault="00F04BF2" w:rsidP="00F04BF2">
      <w:pPr>
        <w:pStyle w:val="Paragraphedeliste"/>
      </w:pPr>
    </w:p>
    <w:p w14:paraId="6A5BD3BD" w14:textId="10AFC65B" w:rsidR="005C0D9E" w:rsidRDefault="005C0D9E" w:rsidP="005C0D9E">
      <w:pPr>
        <w:pStyle w:val="Paragraphedeliste"/>
        <w:numPr>
          <w:ilvl w:val="1"/>
          <w:numId w:val="1"/>
        </w:numPr>
        <w:rPr>
          <w:sz w:val="24"/>
          <w:szCs w:val="24"/>
        </w:rPr>
      </w:pPr>
      <w:r w:rsidRPr="00F04BF2">
        <w:rPr>
          <w:sz w:val="24"/>
          <w:szCs w:val="24"/>
        </w:rPr>
        <w:t>Billetterie : risque lié à la fraude (beaucoup de liquidité)</w:t>
      </w:r>
    </w:p>
    <w:p w14:paraId="211B5D93" w14:textId="76564DBF" w:rsidR="0060706F" w:rsidRPr="00F04BF2" w:rsidRDefault="0060706F" w:rsidP="005C0D9E">
      <w:pPr>
        <w:pStyle w:val="Paragraphedeliste"/>
        <w:numPr>
          <w:ilvl w:val="1"/>
          <w:numId w:val="1"/>
        </w:numPr>
        <w:rPr>
          <w:sz w:val="24"/>
          <w:szCs w:val="24"/>
        </w:rPr>
      </w:pPr>
      <w:r w:rsidRPr="0060706F">
        <w:rPr>
          <w:sz w:val="24"/>
          <w:szCs w:val="24"/>
        </w:rPr>
        <w:t>Cantine</w:t>
      </w:r>
      <w:r>
        <w:rPr>
          <w:sz w:val="24"/>
          <w:szCs w:val="24"/>
        </w:rPr>
        <w:t xml:space="preserve"> (restauration)</w:t>
      </w:r>
      <w:r w:rsidRPr="0060706F">
        <w:rPr>
          <w:sz w:val="24"/>
          <w:szCs w:val="24"/>
        </w:rPr>
        <w:t xml:space="preserve"> : beaucoup d’argent liquide</w:t>
      </w:r>
    </w:p>
    <w:p w14:paraId="5FD6E33C" w14:textId="3B1EC355" w:rsidR="005C0D9E" w:rsidRPr="00F04BF2" w:rsidRDefault="005C0D9E" w:rsidP="005C0D9E">
      <w:pPr>
        <w:pStyle w:val="Paragraphedeliste"/>
        <w:numPr>
          <w:ilvl w:val="1"/>
          <w:numId w:val="1"/>
        </w:numPr>
        <w:rPr>
          <w:sz w:val="24"/>
          <w:szCs w:val="24"/>
        </w:rPr>
      </w:pPr>
      <w:r w:rsidRPr="00F04BF2">
        <w:rPr>
          <w:sz w:val="24"/>
          <w:szCs w:val="24"/>
        </w:rPr>
        <w:t>Transfert des joueurs : commission secrète aux agents des joueurs</w:t>
      </w:r>
    </w:p>
    <w:p w14:paraId="5143E1E1" w14:textId="77777777" w:rsidR="00F04BF2" w:rsidRPr="00F04BF2" w:rsidRDefault="00F04BF2" w:rsidP="00F04BF2">
      <w:pPr>
        <w:pStyle w:val="Paragraphedeliste"/>
        <w:ind w:left="1440"/>
        <w:rPr>
          <w:sz w:val="24"/>
          <w:szCs w:val="24"/>
        </w:rPr>
      </w:pPr>
    </w:p>
    <w:p w14:paraId="71E8F969" w14:textId="343D461D" w:rsidR="005C0D9E" w:rsidRDefault="005C0D9E" w:rsidP="00F04BF2">
      <w:pPr>
        <w:pStyle w:val="Paragraphedeliste"/>
        <w:numPr>
          <w:ilvl w:val="0"/>
          <w:numId w:val="1"/>
        </w:numPr>
        <w:spacing w:before="240"/>
        <w:ind w:left="714" w:hanging="357"/>
      </w:pPr>
      <w:r w:rsidRPr="00F04BF2">
        <w:rPr>
          <w:color w:val="4472C4" w:themeColor="accent1"/>
          <w:sz w:val="28"/>
          <w:szCs w:val="28"/>
          <w:u w:val="single" w:color="4472C4" w:themeColor="accent1"/>
        </w:rPr>
        <w:t>Achats :</w:t>
      </w:r>
    </w:p>
    <w:p w14:paraId="2DB7840D" w14:textId="77777777" w:rsidR="00F04BF2" w:rsidRDefault="00F04BF2" w:rsidP="00F04BF2">
      <w:pPr>
        <w:pStyle w:val="Paragraphedeliste"/>
      </w:pPr>
    </w:p>
    <w:p w14:paraId="4382EA4E" w14:textId="481F22FB" w:rsidR="008B43E2" w:rsidRPr="00154CD1" w:rsidRDefault="005C0D9E" w:rsidP="00154CD1">
      <w:pPr>
        <w:pStyle w:val="Paragraphedeliste"/>
        <w:numPr>
          <w:ilvl w:val="1"/>
          <w:numId w:val="1"/>
        </w:numPr>
        <w:rPr>
          <w:sz w:val="24"/>
          <w:szCs w:val="24"/>
        </w:rPr>
      </w:pPr>
      <w:r w:rsidRPr="00F04BF2">
        <w:rPr>
          <w:sz w:val="24"/>
          <w:szCs w:val="24"/>
        </w:rPr>
        <w:t>Refacturation des salaires des joueurs par l’ASBL du club</w:t>
      </w:r>
      <w:r w:rsidR="008B43E2" w:rsidRPr="00F04BF2">
        <w:rPr>
          <w:sz w:val="24"/>
          <w:szCs w:val="24"/>
        </w:rPr>
        <w:t> : entité</w:t>
      </w:r>
      <w:r w:rsidR="00E90B4B">
        <w:rPr>
          <w:sz w:val="24"/>
          <w:szCs w:val="24"/>
        </w:rPr>
        <w:t>s</w:t>
      </w:r>
      <w:r w:rsidR="008B43E2" w:rsidRPr="00F04BF2">
        <w:rPr>
          <w:sz w:val="24"/>
          <w:szCs w:val="24"/>
        </w:rPr>
        <w:t xml:space="preserve"> liées – prix du marché</w:t>
      </w:r>
    </w:p>
    <w:p w14:paraId="6DC025D6" w14:textId="28AF270E" w:rsidR="005C0D9E" w:rsidRDefault="005C0D9E" w:rsidP="005C0D9E">
      <w:pPr>
        <w:pStyle w:val="Paragraphedeliste"/>
        <w:numPr>
          <w:ilvl w:val="1"/>
          <w:numId w:val="1"/>
        </w:numPr>
        <w:rPr>
          <w:sz w:val="24"/>
          <w:szCs w:val="24"/>
        </w:rPr>
      </w:pPr>
      <w:r w:rsidRPr="00F04BF2">
        <w:rPr>
          <w:sz w:val="24"/>
          <w:szCs w:val="24"/>
        </w:rPr>
        <w:t>ATN : logement gratuit – voiture de luxe</w:t>
      </w:r>
      <w:r w:rsidR="008B43E2" w:rsidRPr="00F04BF2">
        <w:rPr>
          <w:sz w:val="24"/>
          <w:szCs w:val="24"/>
        </w:rPr>
        <w:t xml:space="preserve"> (fraude fiscale caractérisée)</w:t>
      </w:r>
    </w:p>
    <w:p w14:paraId="627A0652" w14:textId="2C6C7CD4" w:rsidR="009F5BE8" w:rsidRDefault="009F5BE8" w:rsidP="005C0D9E">
      <w:pPr>
        <w:pStyle w:val="Paragraphedeliste"/>
        <w:numPr>
          <w:ilvl w:val="1"/>
          <w:numId w:val="1"/>
        </w:numPr>
        <w:rPr>
          <w:sz w:val="24"/>
          <w:szCs w:val="24"/>
        </w:rPr>
      </w:pPr>
      <w:r>
        <w:rPr>
          <w:sz w:val="24"/>
          <w:szCs w:val="24"/>
        </w:rPr>
        <w:t>Investissement dans des joueurs ou apport d’argent de sponsoring</w:t>
      </w:r>
      <w:r w:rsidR="002A7935">
        <w:rPr>
          <w:sz w:val="24"/>
          <w:szCs w:val="24"/>
        </w:rPr>
        <w:t> :</w:t>
      </w:r>
      <w:r>
        <w:rPr>
          <w:sz w:val="24"/>
          <w:szCs w:val="24"/>
        </w:rPr>
        <w:t> </w:t>
      </w:r>
      <w:r w:rsidR="001A4D4C">
        <w:rPr>
          <w:sz w:val="24"/>
          <w:szCs w:val="24"/>
        </w:rPr>
        <w:t>origine des fonds</w:t>
      </w:r>
      <w:r w:rsidR="00932133">
        <w:rPr>
          <w:sz w:val="24"/>
          <w:szCs w:val="24"/>
        </w:rPr>
        <w:t xml:space="preserve"> </w:t>
      </w:r>
      <w:r w:rsidR="001A4D4C">
        <w:rPr>
          <w:sz w:val="24"/>
          <w:szCs w:val="24"/>
        </w:rPr>
        <w:t>(</w:t>
      </w:r>
      <w:r w:rsidR="007058D6">
        <w:rPr>
          <w:sz w:val="24"/>
          <w:szCs w:val="24"/>
        </w:rPr>
        <w:t>s</w:t>
      </w:r>
      <w:r w:rsidR="007058D6" w:rsidRPr="007058D6">
        <w:rPr>
          <w:sz w:val="24"/>
          <w:szCs w:val="24"/>
        </w:rPr>
        <w:t>i, à un stade ultérieur, l</w:t>
      </w:r>
      <w:r w:rsidR="00845F59">
        <w:rPr>
          <w:sz w:val="24"/>
          <w:szCs w:val="24"/>
        </w:rPr>
        <w:t>’</w:t>
      </w:r>
      <w:r w:rsidR="007058D6" w:rsidRPr="007058D6">
        <w:rPr>
          <w:sz w:val="24"/>
          <w:szCs w:val="24"/>
        </w:rPr>
        <w:t>investisseur retire ses fonds du club, il dispose alors d</w:t>
      </w:r>
      <w:r w:rsidR="00845F59">
        <w:rPr>
          <w:sz w:val="24"/>
          <w:szCs w:val="24"/>
        </w:rPr>
        <w:t>’</w:t>
      </w:r>
      <w:r w:rsidR="007058D6" w:rsidRPr="007058D6">
        <w:rPr>
          <w:sz w:val="24"/>
          <w:szCs w:val="24"/>
        </w:rPr>
        <w:t>un revenu légal</w:t>
      </w:r>
      <w:r w:rsidR="007058D6">
        <w:rPr>
          <w:sz w:val="24"/>
          <w:szCs w:val="24"/>
        </w:rPr>
        <w:t>)</w:t>
      </w:r>
    </w:p>
    <w:p w14:paraId="2C116FA6" w14:textId="0C368189" w:rsidR="00707FAB" w:rsidRDefault="00707FAB" w:rsidP="005C0D9E">
      <w:pPr>
        <w:pStyle w:val="Paragraphedeliste"/>
        <w:numPr>
          <w:ilvl w:val="1"/>
          <w:numId w:val="1"/>
        </w:numPr>
        <w:rPr>
          <w:sz w:val="24"/>
          <w:szCs w:val="24"/>
        </w:rPr>
      </w:pPr>
      <w:r>
        <w:rPr>
          <w:sz w:val="24"/>
          <w:szCs w:val="24"/>
        </w:rPr>
        <w:t xml:space="preserve">Envoie de fausses factures au club </w:t>
      </w:r>
      <w:r w:rsidR="00A64C54">
        <w:rPr>
          <w:sz w:val="24"/>
          <w:szCs w:val="24"/>
        </w:rPr>
        <w:t xml:space="preserve">(factures sans </w:t>
      </w:r>
      <w:r w:rsidR="00A95C5C">
        <w:rPr>
          <w:sz w:val="24"/>
          <w:szCs w:val="24"/>
        </w:rPr>
        <w:t>légitimité économique)</w:t>
      </w:r>
    </w:p>
    <w:p w14:paraId="7F60FE0A" w14:textId="093A6D21" w:rsidR="006D6532" w:rsidRDefault="006D6532" w:rsidP="005C0D9E">
      <w:pPr>
        <w:pStyle w:val="Paragraphedeliste"/>
        <w:numPr>
          <w:ilvl w:val="1"/>
          <w:numId w:val="1"/>
        </w:numPr>
        <w:rPr>
          <w:sz w:val="24"/>
          <w:szCs w:val="24"/>
        </w:rPr>
      </w:pPr>
      <w:r w:rsidRPr="006D6532">
        <w:rPr>
          <w:sz w:val="24"/>
          <w:szCs w:val="24"/>
        </w:rPr>
        <w:t>La valeur d'un footballeur ne peut</w:t>
      </w:r>
      <w:r>
        <w:rPr>
          <w:sz w:val="24"/>
          <w:szCs w:val="24"/>
        </w:rPr>
        <w:t xml:space="preserve"> pas</w:t>
      </w:r>
      <w:r w:rsidRPr="006D6532">
        <w:rPr>
          <w:sz w:val="24"/>
          <w:szCs w:val="24"/>
        </w:rPr>
        <w:t xml:space="preserve"> être déterminée de manière objective. En augmentant artificiellement le prix</w:t>
      </w:r>
      <w:r>
        <w:rPr>
          <w:sz w:val="24"/>
          <w:szCs w:val="24"/>
        </w:rPr>
        <w:t xml:space="preserve"> d’un joueur</w:t>
      </w:r>
      <w:r w:rsidRPr="006D6532">
        <w:rPr>
          <w:sz w:val="24"/>
          <w:szCs w:val="24"/>
        </w:rPr>
        <w:t>, des montants (considérables) peuvent être blanchis. Non seulement les courtiers, mais aussi les entraîneurs et les managers reçoivent souvent des honoraires payés au noir.</w:t>
      </w:r>
    </w:p>
    <w:p w14:paraId="30F36B22" w14:textId="0537F348" w:rsidR="006D6532" w:rsidRPr="00F04BF2" w:rsidRDefault="006D6532" w:rsidP="005C0D9E">
      <w:pPr>
        <w:pStyle w:val="Paragraphedeliste"/>
        <w:numPr>
          <w:ilvl w:val="1"/>
          <w:numId w:val="1"/>
        </w:numPr>
        <w:rPr>
          <w:sz w:val="24"/>
          <w:szCs w:val="24"/>
        </w:rPr>
      </w:pPr>
      <w:r w:rsidRPr="006D6532">
        <w:rPr>
          <w:sz w:val="24"/>
          <w:szCs w:val="24"/>
        </w:rPr>
        <w:t xml:space="preserve">Grâce à des contrats fictifs passés avec des sociétés </w:t>
      </w:r>
      <w:r>
        <w:rPr>
          <w:sz w:val="24"/>
          <w:szCs w:val="24"/>
        </w:rPr>
        <w:t>« </w:t>
      </w:r>
      <w:r w:rsidRPr="006D6532">
        <w:rPr>
          <w:sz w:val="24"/>
          <w:szCs w:val="24"/>
        </w:rPr>
        <w:t>offshore</w:t>
      </w:r>
      <w:r>
        <w:rPr>
          <w:sz w:val="24"/>
          <w:szCs w:val="24"/>
        </w:rPr>
        <w:t> »</w:t>
      </w:r>
      <w:r w:rsidRPr="006D6532">
        <w:rPr>
          <w:sz w:val="24"/>
          <w:szCs w:val="24"/>
        </w:rPr>
        <w:t xml:space="preserve"> pour l'obtention de droits d'auteur, non seulement l'impôt est éludé, mais l'argent du crime peut également être blanchi.</w:t>
      </w:r>
    </w:p>
    <w:p w14:paraId="000FFD95" w14:textId="77777777" w:rsidR="00F04BF2" w:rsidRDefault="00F04BF2" w:rsidP="00F04BF2">
      <w:pPr>
        <w:pStyle w:val="Paragraphedeliste"/>
        <w:ind w:left="1440"/>
      </w:pPr>
    </w:p>
    <w:p w14:paraId="30EFA350" w14:textId="2D07E457" w:rsidR="00681C15" w:rsidRDefault="00681C15" w:rsidP="00F04BF2">
      <w:pPr>
        <w:pStyle w:val="Paragraphedeliste"/>
        <w:numPr>
          <w:ilvl w:val="0"/>
          <w:numId w:val="1"/>
        </w:numPr>
        <w:spacing w:before="240"/>
        <w:ind w:left="714" w:hanging="357"/>
        <w:rPr>
          <w:color w:val="4472C4" w:themeColor="accent1"/>
          <w:sz w:val="28"/>
          <w:szCs w:val="28"/>
          <w:u w:val="single" w:color="4472C4" w:themeColor="accent1"/>
        </w:rPr>
      </w:pPr>
      <w:r>
        <w:rPr>
          <w:color w:val="4472C4" w:themeColor="accent1"/>
          <w:sz w:val="28"/>
          <w:szCs w:val="28"/>
          <w:u w:val="single" w:color="4472C4" w:themeColor="accent1"/>
        </w:rPr>
        <w:lastRenderedPageBreak/>
        <w:t>Salaires (</w:t>
      </w:r>
      <w:r w:rsidRPr="005C6A10">
        <w:rPr>
          <w:i/>
          <w:iCs/>
          <w:color w:val="4472C4" w:themeColor="accent1"/>
          <w:sz w:val="28"/>
          <w:szCs w:val="28"/>
          <w:u w:val="single" w:color="4472C4" w:themeColor="accent1"/>
        </w:rPr>
        <w:t>payroll</w:t>
      </w:r>
      <w:r>
        <w:rPr>
          <w:color w:val="4472C4" w:themeColor="accent1"/>
          <w:sz w:val="28"/>
          <w:szCs w:val="28"/>
          <w:u w:val="single" w:color="4472C4" w:themeColor="accent1"/>
        </w:rPr>
        <w:t>)</w:t>
      </w:r>
    </w:p>
    <w:p w14:paraId="78383B06" w14:textId="66C828AA" w:rsidR="005A619F" w:rsidRPr="005C6A10" w:rsidRDefault="005A619F" w:rsidP="005A619F">
      <w:pPr>
        <w:pStyle w:val="Paragraphedeliste"/>
        <w:numPr>
          <w:ilvl w:val="1"/>
          <w:numId w:val="1"/>
        </w:numPr>
        <w:spacing w:before="240"/>
        <w:rPr>
          <w:color w:val="4472C4" w:themeColor="accent1"/>
          <w:sz w:val="24"/>
          <w:szCs w:val="24"/>
        </w:rPr>
      </w:pPr>
      <w:r w:rsidRPr="005C6A10">
        <w:rPr>
          <w:color w:val="4472C4" w:themeColor="accent1"/>
          <w:sz w:val="24"/>
          <w:szCs w:val="24"/>
        </w:rPr>
        <w:t xml:space="preserve">Application incorrecte </w:t>
      </w:r>
      <w:r w:rsidR="008817C5">
        <w:rPr>
          <w:color w:val="4472C4" w:themeColor="accent1"/>
          <w:sz w:val="24"/>
          <w:szCs w:val="24"/>
        </w:rPr>
        <w:t>/</w:t>
      </w:r>
      <w:r w:rsidRPr="005C6A10">
        <w:rPr>
          <w:color w:val="4472C4" w:themeColor="accent1"/>
          <w:sz w:val="24"/>
          <w:szCs w:val="24"/>
        </w:rPr>
        <w:t xml:space="preserve"> non-transmission du précompte professionnel</w:t>
      </w:r>
    </w:p>
    <w:p w14:paraId="7A8710F0" w14:textId="203D3F5B" w:rsidR="005A619F" w:rsidRPr="005C6A10" w:rsidRDefault="005A619F" w:rsidP="005C6A10">
      <w:pPr>
        <w:pStyle w:val="Paragraphedeliste"/>
        <w:numPr>
          <w:ilvl w:val="1"/>
          <w:numId w:val="1"/>
        </w:numPr>
        <w:spacing w:before="240"/>
        <w:rPr>
          <w:color w:val="4472C4" w:themeColor="accent1"/>
          <w:sz w:val="24"/>
          <w:szCs w:val="24"/>
        </w:rPr>
      </w:pPr>
      <w:r w:rsidRPr="005C6A10">
        <w:rPr>
          <w:color w:val="4472C4" w:themeColor="accent1"/>
          <w:sz w:val="24"/>
          <w:szCs w:val="24"/>
        </w:rPr>
        <w:t>Application incorrecte du statut de jeune sportif</w:t>
      </w:r>
    </w:p>
    <w:p w14:paraId="7F786498" w14:textId="13B564FB" w:rsidR="005C0D9E" w:rsidRPr="00F04BF2" w:rsidRDefault="005C0D9E" w:rsidP="00F04BF2">
      <w:pPr>
        <w:pStyle w:val="Paragraphedeliste"/>
        <w:numPr>
          <w:ilvl w:val="0"/>
          <w:numId w:val="1"/>
        </w:numPr>
        <w:spacing w:before="240"/>
        <w:ind w:left="714" w:hanging="357"/>
        <w:rPr>
          <w:color w:val="4472C4" w:themeColor="accent1"/>
          <w:sz w:val="28"/>
          <w:szCs w:val="28"/>
          <w:u w:val="single" w:color="4472C4" w:themeColor="accent1"/>
        </w:rPr>
      </w:pPr>
      <w:r w:rsidRPr="00F04BF2">
        <w:rPr>
          <w:color w:val="4472C4" w:themeColor="accent1"/>
          <w:sz w:val="28"/>
          <w:szCs w:val="28"/>
          <w:u w:val="single" w:color="4472C4" w:themeColor="accent1"/>
        </w:rPr>
        <w:t>Emprunt :</w:t>
      </w:r>
    </w:p>
    <w:p w14:paraId="4749BB77" w14:textId="77777777" w:rsidR="00F04BF2" w:rsidRDefault="00F04BF2" w:rsidP="00F04BF2">
      <w:pPr>
        <w:pStyle w:val="Paragraphedeliste"/>
      </w:pPr>
    </w:p>
    <w:p w14:paraId="48B8241D" w14:textId="72A99ACA" w:rsidR="005C0D9E" w:rsidRPr="00F04BF2" w:rsidRDefault="005C0D9E" w:rsidP="005C0D9E">
      <w:pPr>
        <w:pStyle w:val="Paragraphedeliste"/>
        <w:numPr>
          <w:ilvl w:val="1"/>
          <w:numId w:val="1"/>
        </w:numPr>
        <w:rPr>
          <w:sz w:val="24"/>
          <w:szCs w:val="24"/>
        </w:rPr>
      </w:pPr>
      <w:r w:rsidRPr="00F04BF2">
        <w:rPr>
          <w:sz w:val="24"/>
          <w:szCs w:val="24"/>
        </w:rPr>
        <w:t>Prêt actionnaires pour soutenir les pertes du club</w:t>
      </w:r>
      <w:r w:rsidR="008B43E2" w:rsidRPr="00F04BF2">
        <w:rPr>
          <w:sz w:val="24"/>
          <w:szCs w:val="24"/>
        </w:rPr>
        <w:t> : origine des fonds</w:t>
      </w:r>
    </w:p>
    <w:p w14:paraId="6FA42227" w14:textId="4E7CC12F" w:rsidR="00F04BF2" w:rsidRDefault="00F04BF2" w:rsidP="00F04BF2">
      <w:pPr>
        <w:pStyle w:val="Paragraphedeliste"/>
        <w:ind w:left="1440"/>
      </w:pPr>
    </w:p>
    <w:p w14:paraId="230C1279" w14:textId="77777777" w:rsidR="006D6532" w:rsidRDefault="006D6532" w:rsidP="00F04BF2">
      <w:pPr>
        <w:pStyle w:val="Paragraphedeliste"/>
        <w:ind w:left="1440"/>
      </w:pPr>
    </w:p>
    <w:p w14:paraId="1B30328F" w14:textId="06BF2C3B" w:rsidR="00796377" w:rsidRPr="00F04BF2" w:rsidRDefault="00796377" w:rsidP="00F04BF2">
      <w:pPr>
        <w:pStyle w:val="Paragraphedeliste"/>
        <w:numPr>
          <w:ilvl w:val="0"/>
          <w:numId w:val="1"/>
        </w:numPr>
        <w:spacing w:before="240"/>
        <w:ind w:left="714" w:hanging="357"/>
        <w:rPr>
          <w:color w:val="4472C4" w:themeColor="accent1"/>
          <w:sz w:val="28"/>
          <w:szCs w:val="28"/>
          <w:u w:val="single" w:color="4472C4" w:themeColor="accent1"/>
        </w:rPr>
      </w:pPr>
      <w:r w:rsidRPr="00F04BF2">
        <w:rPr>
          <w:color w:val="4472C4" w:themeColor="accent1"/>
          <w:sz w:val="28"/>
          <w:szCs w:val="28"/>
          <w:u w:val="single" w:color="4472C4" w:themeColor="accent1"/>
        </w:rPr>
        <w:t>Hors bilan :</w:t>
      </w:r>
    </w:p>
    <w:p w14:paraId="6F1082DC" w14:textId="77777777" w:rsidR="00F04BF2" w:rsidRDefault="00F04BF2" w:rsidP="00F04BF2">
      <w:pPr>
        <w:pStyle w:val="Paragraphedeliste"/>
      </w:pPr>
    </w:p>
    <w:p w14:paraId="637088EA" w14:textId="4B765C6B" w:rsidR="00796377" w:rsidRPr="00F04BF2" w:rsidRDefault="00796377" w:rsidP="00796377">
      <w:pPr>
        <w:pStyle w:val="Paragraphedeliste"/>
        <w:numPr>
          <w:ilvl w:val="1"/>
          <w:numId w:val="1"/>
        </w:numPr>
        <w:rPr>
          <w:sz w:val="24"/>
          <w:szCs w:val="24"/>
        </w:rPr>
      </w:pPr>
      <w:r w:rsidRPr="00F04BF2">
        <w:rPr>
          <w:sz w:val="24"/>
          <w:szCs w:val="24"/>
        </w:rPr>
        <w:t>Commission versée aux agents des joueurs</w:t>
      </w:r>
    </w:p>
    <w:p w14:paraId="77606055" w14:textId="692C283B" w:rsidR="005C0D9E" w:rsidRPr="006D6532" w:rsidRDefault="00796377" w:rsidP="005C0D9E">
      <w:pPr>
        <w:pStyle w:val="Paragraphedeliste"/>
        <w:numPr>
          <w:ilvl w:val="1"/>
          <w:numId w:val="1"/>
        </w:numPr>
      </w:pPr>
      <w:r w:rsidRPr="001D5124">
        <w:rPr>
          <w:sz w:val="24"/>
          <w:szCs w:val="24"/>
        </w:rPr>
        <w:t>Droits à l’image versés aux joueurs dans des pays à fiscalité faibles (droits mondiaux)</w:t>
      </w:r>
    </w:p>
    <w:p w14:paraId="5E10506D" w14:textId="4E822FDE" w:rsidR="006D6532" w:rsidRDefault="006D6532" w:rsidP="005C0D9E">
      <w:pPr>
        <w:pStyle w:val="Paragraphedeliste"/>
        <w:numPr>
          <w:ilvl w:val="1"/>
          <w:numId w:val="1"/>
        </w:numPr>
        <w:rPr>
          <w:sz w:val="24"/>
          <w:szCs w:val="24"/>
        </w:rPr>
      </w:pPr>
      <w:r w:rsidRPr="007A4DC9">
        <w:rPr>
          <w:i/>
          <w:iCs/>
          <w:sz w:val="24"/>
          <w:szCs w:val="24"/>
        </w:rPr>
        <w:t>Matchfixing</w:t>
      </w:r>
      <w:r w:rsidRPr="006D6532">
        <w:rPr>
          <w:sz w:val="24"/>
          <w:szCs w:val="24"/>
        </w:rPr>
        <w:t xml:space="preserve"> / jeux d'argent illégaux : corruption de joueurs et d'arbitres.</w:t>
      </w:r>
    </w:p>
    <w:p w14:paraId="355F9D44" w14:textId="77777777" w:rsidR="00172336" w:rsidRDefault="00172336">
      <w:r>
        <w:br w:type="page"/>
      </w:r>
    </w:p>
    <w:tbl>
      <w:tblPr>
        <w:tblStyle w:val="Grilledutableau"/>
        <w:tblW w:w="0" w:type="auto"/>
        <w:tblLook w:val="04A0" w:firstRow="1" w:lastRow="0" w:firstColumn="1" w:lastColumn="0" w:noHBand="0" w:noVBand="1"/>
      </w:tblPr>
      <w:tblGrid>
        <w:gridCol w:w="9062"/>
      </w:tblGrid>
      <w:tr w:rsidR="00172336" w14:paraId="007628D3" w14:textId="77777777" w:rsidTr="00172336">
        <w:tc>
          <w:tcPr>
            <w:tcW w:w="9062" w:type="dxa"/>
          </w:tcPr>
          <w:p w14:paraId="76DCC9D7" w14:textId="3422C801" w:rsidR="00172336" w:rsidRPr="007A4DC9" w:rsidRDefault="00172336" w:rsidP="00172336">
            <w:pPr>
              <w:rPr>
                <w:b/>
                <w:bCs/>
                <w:sz w:val="24"/>
                <w:szCs w:val="24"/>
              </w:rPr>
            </w:pPr>
            <w:r w:rsidRPr="007A4DC9">
              <w:rPr>
                <w:b/>
                <w:bCs/>
                <w:sz w:val="24"/>
                <w:szCs w:val="24"/>
              </w:rPr>
              <w:lastRenderedPageBreak/>
              <w:t>P</w:t>
            </w:r>
            <w:commentRangeStart w:id="0"/>
            <w:r w:rsidRPr="007A4DC9">
              <w:rPr>
                <w:b/>
                <w:bCs/>
                <w:sz w:val="24"/>
                <w:szCs w:val="24"/>
              </w:rPr>
              <w:t>oints d’attention :</w:t>
            </w:r>
            <w:commentRangeEnd w:id="0"/>
            <w:r w:rsidRPr="007A4DC9">
              <w:rPr>
                <w:rStyle w:val="Marquedecommentaire"/>
                <w:b/>
                <w:bCs/>
              </w:rPr>
              <w:commentReference w:id="0"/>
            </w:r>
          </w:p>
          <w:p w14:paraId="2918EAF7" w14:textId="77777777" w:rsidR="00172336" w:rsidRPr="007A4DC9" w:rsidRDefault="00172336" w:rsidP="00172336">
            <w:pPr>
              <w:rPr>
                <w:b/>
                <w:bCs/>
                <w:sz w:val="24"/>
                <w:szCs w:val="24"/>
              </w:rPr>
            </w:pPr>
          </w:p>
          <w:p w14:paraId="0F38361E" w14:textId="6D3B51B7" w:rsidR="00172336" w:rsidRDefault="00000000" w:rsidP="00172336">
            <w:pPr>
              <w:rPr>
                <w:sz w:val="24"/>
                <w:szCs w:val="24"/>
              </w:rPr>
            </w:pPr>
            <w:hyperlink r:id="rId15" w:history="1">
              <w:r w:rsidR="00172336" w:rsidRPr="007A4DC9">
                <w:rPr>
                  <w:rStyle w:val="Lienhypertexte"/>
                  <w:sz w:val="24"/>
                  <w:szCs w:val="24"/>
                </w:rPr>
                <w:t>L</w:t>
              </w:r>
              <w:r w:rsidR="00172336" w:rsidRPr="007A4DC9">
                <w:rPr>
                  <w:rStyle w:val="Lienhypertexte"/>
                </w:rPr>
                <w:t xml:space="preserve">e Règlement </w:t>
              </w:r>
              <w:r w:rsidR="00172336" w:rsidRPr="007A4DC9">
                <w:rPr>
                  <w:rStyle w:val="Lienhypertexte"/>
                  <w:sz w:val="24"/>
                  <w:szCs w:val="24"/>
                </w:rPr>
                <w:t>du 20 mars 2023</w:t>
              </w:r>
            </w:hyperlink>
            <w:r w:rsidR="00172336" w:rsidRPr="007A4DC9">
              <w:rPr>
                <w:sz w:val="24"/>
                <w:szCs w:val="24"/>
              </w:rPr>
              <w:t xml:space="preserve"> pris en exécution de la loi du 18 septembre 2017 relative à la prévention du blanchiment de capitaux et du financement du terrorisme et à la limitation de l'utilisation des espèces, concernant les clubs de football professionnel de haut niveau, prévoit les facteurs de risques suivants :</w:t>
            </w:r>
          </w:p>
          <w:p w14:paraId="17BAC95A" w14:textId="77777777" w:rsidR="003D7EF7" w:rsidRDefault="003D7EF7" w:rsidP="00172336">
            <w:pPr>
              <w:rPr>
                <w:sz w:val="24"/>
                <w:szCs w:val="24"/>
              </w:rPr>
            </w:pPr>
          </w:p>
          <w:p w14:paraId="7A80DDDC" w14:textId="5D680990" w:rsidR="00172336" w:rsidRDefault="00172336" w:rsidP="00172336">
            <w:pPr>
              <w:jc w:val="both"/>
              <w:rPr>
                <w:color w:val="000000"/>
                <w:sz w:val="20"/>
                <w:szCs w:val="20"/>
              </w:rPr>
            </w:pPr>
            <w:r w:rsidRPr="006E2452">
              <w:rPr>
                <w:color w:val="000000"/>
                <w:sz w:val="20"/>
                <w:szCs w:val="20"/>
                <w:u w:val="single"/>
              </w:rPr>
              <w:t>1° pour ce qui concerne un client personne physique ou morale</w:t>
            </w:r>
            <w:r w:rsidRPr="002D32BB">
              <w:rPr>
                <w:color w:val="000000"/>
                <w:sz w:val="20"/>
                <w:szCs w:val="20"/>
              </w:rPr>
              <w:t xml:space="preserve"> :</w:t>
            </w:r>
          </w:p>
          <w:p w14:paraId="7B43B0FA" w14:textId="77777777" w:rsidR="003D7EF7" w:rsidRDefault="003D7EF7" w:rsidP="003D7EF7">
            <w:pPr>
              <w:jc w:val="both"/>
              <w:rPr>
                <w:color w:val="000000"/>
                <w:sz w:val="20"/>
                <w:szCs w:val="20"/>
              </w:rPr>
            </w:pPr>
          </w:p>
          <w:p w14:paraId="3CCC2D45"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 xml:space="preserve"> le client, le mandataire ou un bénéficiaire effectif est établi dans un pays repris sur la liste de pays à haut risques, tenue par le SPF Finances (</w:t>
            </w:r>
            <w:hyperlink r:id="rId16" w:history="1">
              <w:r w:rsidRPr="00D044F5">
                <w:rPr>
                  <w:rStyle w:val="Lienhypertexte"/>
                  <w:sz w:val="20"/>
                  <w:szCs w:val="20"/>
                </w:rPr>
                <w:t>https://finances.belgium.be/fr/pays-hauts-risques</w:t>
              </w:r>
            </w:hyperlink>
            <w:r w:rsidRPr="00D044F5">
              <w:rPr>
                <w:color w:val="000000"/>
                <w:sz w:val="20"/>
                <w:szCs w:val="20"/>
              </w:rPr>
              <w:t>) ;</w:t>
            </w:r>
          </w:p>
          <w:p w14:paraId="7FF17CB7"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 xml:space="preserve"> le client, le mandataire ou un bénéficiaire effectif est une personne notoirement impliquée dans des autres opérations douteuses ;</w:t>
            </w:r>
          </w:p>
          <w:p w14:paraId="6E4A71B6"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 xml:space="preserve"> l'identification a été opérée à distance sur la base d'une copie d'un document probant mais sans garantie telle qu'une signature électronique qualifiée ou un cachet électronique qualifié ;</w:t>
            </w:r>
          </w:p>
          <w:p w14:paraId="38F94F6D"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 xml:space="preserve"> le client, mandataire ou bénéficiaire effectif est une personne politiquement exposée ou un membre de sa famille, visé à l'article 4, 28° et 29°, de la loi ;</w:t>
            </w:r>
          </w:p>
          <w:p w14:paraId="4F68C943"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le client présente des caractéristiques inhabituelles ;</w:t>
            </w:r>
          </w:p>
          <w:p w14:paraId="01FDDFD1"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le client est manifestement un homme de paille ;</w:t>
            </w:r>
          </w:p>
          <w:p w14:paraId="03800B8D"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 xml:space="preserve">le client a fait l'objet de sanctions pénales ou administratives ou de sanctions disciplinaires infligées par la FIFA ou l'une de ses fédérations membres ou a fait l'objet d'une publicité négative (par exemple </w:t>
            </w:r>
            <w:hyperlink r:id="rId17" w:history="1">
              <w:r w:rsidRPr="00D044F5">
                <w:rPr>
                  <w:rStyle w:val="Lienhypertexte"/>
                  <w:sz w:val="20"/>
                  <w:szCs w:val="20"/>
                </w:rPr>
                <w:t>www.offshoreleaks.icji.org</w:t>
              </w:r>
            </w:hyperlink>
            <w:r w:rsidRPr="00D044F5">
              <w:rPr>
                <w:color w:val="000000"/>
                <w:sz w:val="20"/>
                <w:szCs w:val="20"/>
              </w:rPr>
              <w:t>) ;</w:t>
            </w:r>
          </w:p>
          <w:p w14:paraId="6247E3A9" w14:textId="77777777" w:rsidR="00172336" w:rsidRPr="00D044F5" w:rsidRDefault="00172336" w:rsidP="00172336">
            <w:pPr>
              <w:pStyle w:val="Paragraphedeliste"/>
              <w:numPr>
                <w:ilvl w:val="0"/>
                <w:numId w:val="3"/>
              </w:numPr>
              <w:jc w:val="both"/>
              <w:rPr>
                <w:color w:val="000000"/>
                <w:sz w:val="20"/>
                <w:szCs w:val="20"/>
              </w:rPr>
            </w:pPr>
            <w:r w:rsidRPr="00D044F5">
              <w:rPr>
                <w:color w:val="000000"/>
                <w:sz w:val="20"/>
                <w:szCs w:val="20"/>
              </w:rPr>
              <w:t>le client a fait l'objet de sanctions disciplinaires infligées par la FIFA ou l'une de ses fédérations membres pour des faits liés à sa gestion financière ou administrative. Ces sanctions sont liées notamment :</w:t>
            </w:r>
          </w:p>
          <w:p w14:paraId="7AF5A725" w14:textId="77777777" w:rsidR="00172336" w:rsidRPr="00D044F5" w:rsidRDefault="00172336" w:rsidP="00172336">
            <w:pPr>
              <w:pStyle w:val="Paragraphedeliste"/>
              <w:numPr>
                <w:ilvl w:val="1"/>
                <w:numId w:val="4"/>
              </w:numPr>
              <w:jc w:val="both"/>
              <w:rPr>
                <w:color w:val="000000"/>
                <w:sz w:val="20"/>
                <w:szCs w:val="20"/>
              </w:rPr>
            </w:pPr>
            <w:r w:rsidRPr="00D044F5">
              <w:rPr>
                <w:color w:val="000000"/>
                <w:sz w:val="20"/>
                <w:szCs w:val="20"/>
              </w:rPr>
              <w:t>à la conclusion d'une transaction par l'intermédiaire d'un agent non-enregistré ;</w:t>
            </w:r>
          </w:p>
          <w:p w14:paraId="3D1A226A" w14:textId="77777777" w:rsidR="00172336" w:rsidRPr="00D044F5" w:rsidRDefault="00172336" w:rsidP="00172336">
            <w:pPr>
              <w:pStyle w:val="Paragraphedeliste"/>
              <w:numPr>
                <w:ilvl w:val="1"/>
                <w:numId w:val="4"/>
              </w:numPr>
              <w:jc w:val="both"/>
              <w:rPr>
                <w:color w:val="000000"/>
                <w:sz w:val="20"/>
                <w:szCs w:val="20"/>
              </w:rPr>
            </w:pPr>
            <w:r w:rsidRPr="00D044F5">
              <w:rPr>
                <w:color w:val="000000"/>
                <w:sz w:val="20"/>
                <w:szCs w:val="20"/>
              </w:rPr>
              <w:t>à la conclusion d'une transaction sans l'accord préalable de la clearing house ou d'une autre autorité   compétente ;</w:t>
            </w:r>
          </w:p>
          <w:p w14:paraId="2EA70C9C" w14:textId="77777777" w:rsidR="00172336" w:rsidRPr="00D044F5" w:rsidRDefault="00172336" w:rsidP="00172336">
            <w:pPr>
              <w:pStyle w:val="Paragraphedeliste"/>
              <w:numPr>
                <w:ilvl w:val="1"/>
                <w:numId w:val="4"/>
              </w:numPr>
              <w:jc w:val="both"/>
              <w:rPr>
                <w:color w:val="000000"/>
                <w:sz w:val="20"/>
                <w:szCs w:val="20"/>
              </w:rPr>
            </w:pPr>
            <w:r w:rsidRPr="00D044F5">
              <w:rPr>
                <w:color w:val="000000"/>
                <w:sz w:val="20"/>
                <w:szCs w:val="20"/>
              </w:rPr>
              <w:t>au non-respect d'une interdiction de paiement pour des services en faveur de mineurs ;</w:t>
            </w:r>
          </w:p>
          <w:p w14:paraId="599B76D1" w14:textId="77777777" w:rsidR="00172336" w:rsidRPr="00D044F5" w:rsidRDefault="00172336" w:rsidP="00172336">
            <w:pPr>
              <w:pStyle w:val="Paragraphedeliste"/>
              <w:numPr>
                <w:ilvl w:val="1"/>
                <w:numId w:val="4"/>
              </w:numPr>
              <w:jc w:val="both"/>
              <w:rPr>
                <w:color w:val="000000"/>
                <w:sz w:val="20"/>
                <w:szCs w:val="20"/>
              </w:rPr>
            </w:pPr>
            <w:r w:rsidRPr="00D044F5">
              <w:rPr>
                <w:color w:val="000000"/>
                <w:sz w:val="20"/>
                <w:szCs w:val="20"/>
              </w:rPr>
              <w:t>au non-respect de l'interdiction de la double représentation par un agent dans une transaction (club et     joueur) ;</w:t>
            </w:r>
          </w:p>
          <w:p w14:paraId="3C2A07F8" w14:textId="77777777" w:rsidR="00172336" w:rsidRPr="007A4DC9" w:rsidRDefault="00172336" w:rsidP="007A4DC9">
            <w:pPr>
              <w:pStyle w:val="Paragraphedeliste"/>
              <w:numPr>
                <w:ilvl w:val="1"/>
                <w:numId w:val="4"/>
              </w:numPr>
              <w:jc w:val="both"/>
              <w:rPr>
                <w:color w:val="000000"/>
                <w:sz w:val="20"/>
                <w:szCs w:val="20"/>
              </w:rPr>
            </w:pPr>
            <w:r w:rsidRPr="007A4DC9">
              <w:rPr>
                <w:color w:val="000000"/>
                <w:sz w:val="20"/>
                <w:szCs w:val="20"/>
              </w:rPr>
              <w:t>à l'absence d'une politique interne pour les relations avec les agents de joueurs ;</w:t>
            </w:r>
          </w:p>
          <w:p w14:paraId="338078FB" w14:textId="77777777" w:rsidR="00172336" w:rsidRPr="007A4DC9" w:rsidRDefault="00172336" w:rsidP="007A4DC9">
            <w:pPr>
              <w:jc w:val="both"/>
              <w:rPr>
                <w:color w:val="000000"/>
                <w:sz w:val="20"/>
                <w:szCs w:val="20"/>
              </w:rPr>
            </w:pPr>
            <w:r w:rsidRPr="007A4DC9">
              <w:rPr>
                <w:color w:val="000000"/>
                <w:sz w:val="20"/>
                <w:szCs w:val="20"/>
              </w:rPr>
              <w:br/>
            </w:r>
          </w:p>
          <w:p w14:paraId="62ADFE63" w14:textId="77777777" w:rsidR="00172336" w:rsidRDefault="00172336" w:rsidP="007A4DC9">
            <w:pPr>
              <w:jc w:val="both"/>
              <w:rPr>
                <w:color w:val="000000"/>
                <w:sz w:val="20"/>
                <w:szCs w:val="20"/>
              </w:rPr>
            </w:pPr>
            <w:r w:rsidRPr="006E2452">
              <w:rPr>
                <w:color w:val="000000"/>
                <w:sz w:val="20"/>
                <w:szCs w:val="20"/>
                <w:u w:val="single"/>
              </w:rPr>
              <w:t>2° en ce qui concerne un client personne morale</w:t>
            </w:r>
            <w:r w:rsidRPr="002D32BB">
              <w:rPr>
                <w:color w:val="000000"/>
                <w:sz w:val="20"/>
                <w:szCs w:val="20"/>
              </w:rPr>
              <w:t xml:space="preserve"> :</w:t>
            </w:r>
          </w:p>
          <w:p w14:paraId="48050790"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les bénéficiaires effectifs sont des personnes pour lesquelles il n'a pas été possible d'identifier le lieu ou la date de naissance ou l'adresse ;</w:t>
            </w:r>
          </w:p>
          <w:p w14:paraId="03FFF2DD"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client est une société étrangère dont une part importante du capital est représentée par des actions au porteur susceptibles de changer aisément de propriétaire à l'insu du club ;</w:t>
            </w:r>
          </w:p>
          <w:p w14:paraId="0D14A9B5"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client est un trust, une association de fait ou une autre structure juridique dont une bonne connaissance requiert une analyse plus approfondie, par exemple une structure juridique complexe ou transnationale pour des sociétés autres que des sociétés anonymes ou équivalentes ;</w:t>
            </w:r>
          </w:p>
          <w:p w14:paraId="6CBF38AD"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client est une société en formation ;</w:t>
            </w:r>
          </w:p>
          <w:p w14:paraId="7EEE4053"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client existe depuis moins de douze mois ;</w:t>
            </w:r>
          </w:p>
          <w:p w14:paraId="1526BD8C"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gérant ou la majorité des administrateurs sont en fonction depuis moins de douze mois ;</w:t>
            </w:r>
          </w:p>
          <w:p w14:paraId="0A424E0C"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client est une Limited ou une société à responsabilité illimitée, à savoir une société simple, une société en nom collectif (SNC) ou une société en commandite (SComm) ou une société étrangère similaire ;</w:t>
            </w:r>
          </w:p>
          <w:p w14:paraId="2CB8DFF4"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le mandataire ou des associés sont manifestement des hommes de paille, par exemple visiblement incompétents pour gérer une entreprise, ne parlent aucune langue d'affaires, ont un mandat limité à la conclusion du contrat ;</w:t>
            </w:r>
          </w:p>
          <w:p w14:paraId="4B7452F4" w14:textId="77777777" w:rsidR="00172336" w:rsidRPr="004B1611" w:rsidRDefault="00172336" w:rsidP="00172336">
            <w:pPr>
              <w:pStyle w:val="Paragraphedeliste"/>
              <w:numPr>
                <w:ilvl w:val="0"/>
                <w:numId w:val="5"/>
              </w:numPr>
              <w:jc w:val="both"/>
              <w:rPr>
                <w:color w:val="000000"/>
                <w:sz w:val="16"/>
                <w:szCs w:val="16"/>
              </w:rPr>
            </w:pPr>
            <w:r w:rsidRPr="004B1611">
              <w:rPr>
                <w:color w:val="000000"/>
                <w:sz w:val="20"/>
                <w:szCs w:val="20"/>
              </w:rPr>
              <w:t>l'activité du client n'est pas claire ou ne correspond pas à l'activité décrite dans la Banque carrefour des entreprises ou dans ses statuts ;</w:t>
            </w:r>
          </w:p>
          <w:p w14:paraId="489F4723" w14:textId="77777777" w:rsidR="00172336" w:rsidRPr="00565DF9" w:rsidRDefault="00172336" w:rsidP="00172336">
            <w:pPr>
              <w:pStyle w:val="Paragraphedeliste"/>
              <w:numPr>
                <w:ilvl w:val="0"/>
                <w:numId w:val="5"/>
              </w:numPr>
              <w:jc w:val="both"/>
              <w:rPr>
                <w:color w:val="000000"/>
                <w:sz w:val="16"/>
                <w:szCs w:val="16"/>
              </w:rPr>
            </w:pPr>
            <w:r w:rsidRPr="004B1611">
              <w:rPr>
                <w:color w:val="000000"/>
                <w:sz w:val="20"/>
                <w:szCs w:val="20"/>
              </w:rPr>
              <w:t>les gérants ou les administrateurs changent fréquemment ;</w:t>
            </w:r>
          </w:p>
          <w:p w14:paraId="2178E428" w14:textId="77777777" w:rsidR="00172336" w:rsidRDefault="00172336" w:rsidP="00172336">
            <w:pPr>
              <w:jc w:val="both"/>
              <w:rPr>
                <w:color w:val="000000"/>
                <w:sz w:val="20"/>
                <w:szCs w:val="20"/>
                <w:u w:val="single"/>
              </w:rPr>
            </w:pPr>
          </w:p>
          <w:p w14:paraId="35D58F39" w14:textId="77777777" w:rsidR="00172336" w:rsidRDefault="00172336" w:rsidP="00172336">
            <w:pPr>
              <w:jc w:val="both"/>
              <w:rPr>
                <w:color w:val="000000"/>
                <w:sz w:val="20"/>
                <w:szCs w:val="20"/>
              </w:rPr>
            </w:pPr>
            <w:r w:rsidRPr="006E2452">
              <w:rPr>
                <w:color w:val="000000"/>
                <w:sz w:val="20"/>
                <w:szCs w:val="20"/>
                <w:u w:val="single"/>
              </w:rPr>
              <w:lastRenderedPageBreak/>
              <w:t>3° en ce qui concerne un client - sponsor</w:t>
            </w:r>
            <w:r w:rsidRPr="002D32BB">
              <w:rPr>
                <w:color w:val="000000"/>
                <w:sz w:val="20"/>
                <w:szCs w:val="20"/>
              </w:rPr>
              <w:t xml:space="preserve"> :</w:t>
            </w:r>
          </w:p>
          <w:p w14:paraId="5CE45C7D" w14:textId="77777777" w:rsidR="00172336" w:rsidRPr="002D32BB" w:rsidRDefault="00172336" w:rsidP="00172336">
            <w:pPr>
              <w:jc w:val="both"/>
              <w:rPr>
                <w:color w:val="000000"/>
                <w:sz w:val="16"/>
                <w:szCs w:val="16"/>
              </w:rPr>
            </w:pPr>
          </w:p>
          <w:p w14:paraId="3FBD1EFF" w14:textId="77777777" w:rsidR="00172336" w:rsidRPr="00D03A20" w:rsidRDefault="00172336" w:rsidP="00172336">
            <w:pPr>
              <w:pStyle w:val="Paragraphedeliste"/>
              <w:numPr>
                <w:ilvl w:val="0"/>
                <w:numId w:val="10"/>
              </w:numPr>
              <w:jc w:val="both"/>
              <w:rPr>
                <w:color w:val="000000"/>
                <w:sz w:val="20"/>
                <w:szCs w:val="20"/>
              </w:rPr>
            </w:pPr>
            <w:r w:rsidRPr="00D03A20">
              <w:rPr>
                <w:color w:val="000000"/>
                <w:sz w:val="20"/>
                <w:szCs w:val="20"/>
              </w:rPr>
              <w:t>la demande de sponsoring de ce client n'est pas cohérente avec ses activités ;</w:t>
            </w:r>
          </w:p>
          <w:p w14:paraId="555AF294" w14:textId="77777777" w:rsidR="00172336" w:rsidRPr="00D03A20" w:rsidRDefault="00172336" w:rsidP="00172336">
            <w:pPr>
              <w:pStyle w:val="Paragraphedeliste"/>
              <w:numPr>
                <w:ilvl w:val="0"/>
                <w:numId w:val="10"/>
              </w:numPr>
              <w:jc w:val="both"/>
              <w:rPr>
                <w:color w:val="000000"/>
                <w:sz w:val="20"/>
                <w:szCs w:val="20"/>
              </w:rPr>
            </w:pPr>
            <w:r w:rsidRPr="00D03A20">
              <w:rPr>
                <w:color w:val="000000"/>
                <w:sz w:val="20"/>
                <w:szCs w:val="20"/>
              </w:rPr>
              <w:t>le sponsor n'exerce pas d'activité professionnelle en Belgique ;</w:t>
            </w:r>
          </w:p>
          <w:p w14:paraId="1D18FEB8" w14:textId="77777777" w:rsidR="00172336" w:rsidRPr="002D32BB" w:rsidRDefault="00172336" w:rsidP="00172336">
            <w:pPr>
              <w:jc w:val="both"/>
              <w:rPr>
                <w:color w:val="000000"/>
                <w:sz w:val="16"/>
                <w:szCs w:val="16"/>
              </w:rPr>
            </w:pPr>
          </w:p>
          <w:p w14:paraId="62F0A259" w14:textId="77777777" w:rsidR="00172336" w:rsidRDefault="00172336" w:rsidP="00172336">
            <w:pPr>
              <w:jc w:val="both"/>
              <w:rPr>
                <w:color w:val="000000"/>
                <w:sz w:val="20"/>
                <w:szCs w:val="20"/>
                <w:u w:val="single"/>
              </w:rPr>
            </w:pPr>
            <w:r w:rsidRPr="006E2452">
              <w:rPr>
                <w:color w:val="000000"/>
                <w:sz w:val="20"/>
                <w:szCs w:val="20"/>
                <w:u w:val="single"/>
              </w:rPr>
              <w:t>4° en ce qui concerne un client - club de football :</w:t>
            </w:r>
          </w:p>
          <w:p w14:paraId="44911170" w14:textId="77777777" w:rsidR="00172336" w:rsidRPr="006E2452" w:rsidRDefault="00172336" w:rsidP="00172336">
            <w:pPr>
              <w:jc w:val="both"/>
              <w:rPr>
                <w:color w:val="000000"/>
                <w:sz w:val="16"/>
                <w:szCs w:val="16"/>
                <w:u w:val="single"/>
              </w:rPr>
            </w:pPr>
          </w:p>
          <w:p w14:paraId="0C56DF1D" w14:textId="77777777" w:rsidR="00172336" w:rsidRDefault="00172336" w:rsidP="00172336">
            <w:pPr>
              <w:pStyle w:val="Paragraphedeliste"/>
              <w:numPr>
                <w:ilvl w:val="0"/>
                <w:numId w:val="7"/>
              </w:numPr>
              <w:jc w:val="both"/>
              <w:rPr>
                <w:color w:val="000000"/>
                <w:sz w:val="20"/>
                <w:szCs w:val="20"/>
              </w:rPr>
            </w:pPr>
            <w:r w:rsidRPr="00AE45C4">
              <w:rPr>
                <w:color w:val="000000"/>
                <w:sz w:val="20"/>
                <w:szCs w:val="20"/>
              </w:rPr>
              <w:t>le prix du transfert d'un joueur doit être payé par ou sur plusieurs comptes bancaires ;</w:t>
            </w:r>
          </w:p>
          <w:p w14:paraId="7BBA24D0" w14:textId="77777777" w:rsidR="00172336" w:rsidRDefault="00172336" w:rsidP="00172336">
            <w:pPr>
              <w:pStyle w:val="Paragraphedeliste"/>
              <w:numPr>
                <w:ilvl w:val="0"/>
                <w:numId w:val="7"/>
              </w:numPr>
              <w:jc w:val="both"/>
              <w:rPr>
                <w:color w:val="000000"/>
                <w:sz w:val="20"/>
                <w:szCs w:val="20"/>
              </w:rPr>
            </w:pPr>
            <w:r w:rsidRPr="00AE45C4">
              <w:rPr>
                <w:color w:val="000000"/>
                <w:sz w:val="20"/>
                <w:szCs w:val="20"/>
              </w:rPr>
              <w:t>le prix de transfert d'un joueur est payé par ou sur un compte tenu dans un pays différent du lieu d'établissement du club ;</w:t>
            </w:r>
          </w:p>
          <w:p w14:paraId="2F233221" w14:textId="77777777" w:rsidR="00172336" w:rsidRDefault="00172336" w:rsidP="00172336">
            <w:pPr>
              <w:pStyle w:val="Paragraphedeliste"/>
              <w:numPr>
                <w:ilvl w:val="0"/>
                <w:numId w:val="7"/>
              </w:numPr>
              <w:jc w:val="both"/>
              <w:rPr>
                <w:color w:val="000000"/>
                <w:sz w:val="20"/>
                <w:szCs w:val="20"/>
              </w:rPr>
            </w:pPr>
            <w:r w:rsidRPr="00AE45C4">
              <w:rPr>
                <w:color w:val="000000"/>
                <w:sz w:val="20"/>
                <w:szCs w:val="20"/>
              </w:rPr>
              <w:t>le prix du transfert d'un joueur payé ne correspond pas à celui prévu dans le contrat ;</w:t>
            </w:r>
          </w:p>
          <w:p w14:paraId="7446EB7C" w14:textId="77777777" w:rsidR="00172336" w:rsidRDefault="00172336" w:rsidP="00172336">
            <w:pPr>
              <w:pStyle w:val="Paragraphedeliste"/>
              <w:numPr>
                <w:ilvl w:val="0"/>
                <w:numId w:val="7"/>
              </w:numPr>
              <w:jc w:val="both"/>
              <w:rPr>
                <w:color w:val="000000"/>
                <w:sz w:val="20"/>
                <w:szCs w:val="20"/>
              </w:rPr>
            </w:pPr>
            <w:r w:rsidRPr="00AE45C4">
              <w:rPr>
                <w:color w:val="000000"/>
                <w:sz w:val="20"/>
                <w:szCs w:val="20"/>
              </w:rPr>
              <w:t>le prix de transfert d'un joueur varie fortement entre son arrivée et son départ du même club, sans raison économiquement ou sportivement justifiable ;</w:t>
            </w:r>
          </w:p>
          <w:p w14:paraId="5FC4E988" w14:textId="77777777" w:rsidR="00172336" w:rsidRDefault="00172336" w:rsidP="00172336">
            <w:pPr>
              <w:pStyle w:val="Paragraphedeliste"/>
              <w:numPr>
                <w:ilvl w:val="0"/>
                <w:numId w:val="7"/>
              </w:numPr>
              <w:jc w:val="both"/>
              <w:rPr>
                <w:color w:val="000000"/>
                <w:sz w:val="20"/>
                <w:szCs w:val="20"/>
              </w:rPr>
            </w:pPr>
            <w:r w:rsidRPr="00AE45C4">
              <w:rPr>
                <w:color w:val="000000"/>
                <w:sz w:val="20"/>
                <w:szCs w:val="20"/>
              </w:rPr>
              <w:t>un joueur a joué pendant une très courte période dans son club, en particulier lorsque le transfert intervient pendant la même période de transfert ;</w:t>
            </w:r>
          </w:p>
          <w:p w14:paraId="203FFF6B" w14:textId="77777777" w:rsidR="00172336" w:rsidRDefault="00172336" w:rsidP="00172336">
            <w:pPr>
              <w:pStyle w:val="Paragraphedeliste"/>
              <w:numPr>
                <w:ilvl w:val="0"/>
                <w:numId w:val="7"/>
              </w:numPr>
              <w:jc w:val="both"/>
              <w:rPr>
                <w:color w:val="000000"/>
                <w:sz w:val="20"/>
                <w:szCs w:val="20"/>
              </w:rPr>
            </w:pPr>
            <w:r w:rsidRPr="00AE45C4">
              <w:rPr>
                <w:color w:val="000000"/>
                <w:sz w:val="20"/>
                <w:szCs w:val="20"/>
              </w:rPr>
              <w:t xml:space="preserve">il existe un lien (mêmes actionnaires par exemple) entre les clubs entre lesquels a lieu le transfert d'un joueur </w:t>
            </w:r>
          </w:p>
          <w:p w14:paraId="52366CC2" w14:textId="77777777" w:rsidR="00172336" w:rsidRPr="00AE45C4" w:rsidRDefault="00172336" w:rsidP="00172336">
            <w:pPr>
              <w:pStyle w:val="Paragraphedeliste"/>
              <w:numPr>
                <w:ilvl w:val="0"/>
                <w:numId w:val="7"/>
              </w:numPr>
              <w:jc w:val="both"/>
              <w:rPr>
                <w:color w:val="000000"/>
                <w:sz w:val="16"/>
                <w:szCs w:val="16"/>
              </w:rPr>
            </w:pPr>
            <w:r w:rsidRPr="00AE45C4">
              <w:rPr>
                <w:color w:val="000000"/>
                <w:sz w:val="20"/>
                <w:szCs w:val="20"/>
              </w:rPr>
              <w:t>le club n'est pas enregistré dans FIFA TMS ;</w:t>
            </w:r>
          </w:p>
          <w:p w14:paraId="0CF733DC" w14:textId="77777777" w:rsidR="00172336" w:rsidRPr="00AE45C4" w:rsidRDefault="00172336" w:rsidP="00172336">
            <w:pPr>
              <w:jc w:val="both"/>
              <w:rPr>
                <w:color w:val="000000"/>
                <w:sz w:val="16"/>
                <w:szCs w:val="16"/>
              </w:rPr>
            </w:pPr>
          </w:p>
          <w:p w14:paraId="028D292F" w14:textId="77777777" w:rsidR="00172336" w:rsidRDefault="00172336" w:rsidP="00172336">
            <w:pPr>
              <w:jc w:val="both"/>
              <w:rPr>
                <w:color w:val="000000"/>
                <w:sz w:val="20"/>
                <w:szCs w:val="20"/>
                <w:u w:val="single"/>
              </w:rPr>
            </w:pPr>
            <w:r w:rsidRPr="006E2452">
              <w:rPr>
                <w:color w:val="000000"/>
                <w:sz w:val="20"/>
                <w:szCs w:val="20"/>
                <w:u w:val="single"/>
              </w:rPr>
              <w:t>5° en ce qui concerne un client - agent sportif :</w:t>
            </w:r>
          </w:p>
          <w:p w14:paraId="7C71B4A1" w14:textId="77777777" w:rsidR="00172336" w:rsidRPr="006E2452" w:rsidRDefault="00172336" w:rsidP="00172336">
            <w:pPr>
              <w:jc w:val="both"/>
              <w:rPr>
                <w:color w:val="000000"/>
                <w:sz w:val="16"/>
                <w:szCs w:val="16"/>
                <w:u w:val="single"/>
              </w:rPr>
            </w:pPr>
          </w:p>
          <w:p w14:paraId="312B8C69" w14:textId="77777777" w:rsidR="00172336" w:rsidRDefault="00172336" w:rsidP="00172336">
            <w:pPr>
              <w:pStyle w:val="Paragraphedeliste"/>
              <w:numPr>
                <w:ilvl w:val="0"/>
                <w:numId w:val="8"/>
              </w:numPr>
              <w:jc w:val="both"/>
              <w:rPr>
                <w:color w:val="000000"/>
                <w:sz w:val="20"/>
                <w:szCs w:val="20"/>
              </w:rPr>
            </w:pPr>
            <w:r w:rsidRPr="00D34BE8">
              <w:rPr>
                <w:color w:val="000000"/>
                <w:sz w:val="20"/>
                <w:szCs w:val="20"/>
              </w:rPr>
              <w:t>le montant de la commission sur le prix de transfert d'un joueur doit être payé par ou sur plusieurs comptes bancaires ou sur le compte d'un autre agent ou répartie entre plusieurs agents ;</w:t>
            </w:r>
          </w:p>
          <w:p w14:paraId="6EB675BA" w14:textId="77777777" w:rsidR="00172336" w:rsidRDefault="00172336" w:rsidP="00172336">
            <w:pPr>
              <w:pStyle w:val="Paragraphedeliste"/>
              <w:numPr>
                <w:ilvl w:val="0"/>
                <w:numId w:val="8"/>
              </w:numPr>
              <w:jc w:val="both"/>
              <w:rPr>
                <w:color w:val="000000"/>
                <w:sz w:val="20"/>
                <w:szCs w:val="20"/>
              </w:rPr>
            </w:pPr>
            <w:r w:rsidRPr="00D34BE8">
              <w:rPr>
                <w:color w:val="000000"/>
                <w:sz w:val="20"/>
                <w:szCs w:val="20"/>
              </w:rPr>
              <w:t>le montant de la commission sur le prix de transfert d'un joueur est payé par ou sur un compte tenu dans un pays différent du lieu d'établissement de l'agent ;</w:t>
            </w:r>
          </w:p>
          <w:p w14:paraId="68CF5BC0" w14:textId="77777777" w:rsidR="00172336" w:rsidRDefault="00172336" w:rsidP="00172336">
            <w:pPr>
              <w:pStyle w:val="Paragraphedeliste"/>
              <w:numPr>
                <w:ilvl w:val="0"/>
                <w:numId w:val="8"/>
              </w:numPr>
              <w:jc w:val="both"/>
              <w:rPr>
                <w:color w:val="000000"/>
                <w:sz w:val="20"/>
                <w:szCs w:val="20"/>
              </w:rPr>
            </w:pPr>
            <w:r w:rsidRPr="00D34BE8">
              <w:rPr>
                <w:color w:val="000000"/>
                <w:sz w:val="20"/>
                <w:szCs w:val="20"/>
              </w:rPr>
              <w:t>l'agent n'est pas enregistré par une fédération sportive ;</w:t>
            </w:r>
          </w:p>
          <w:p w14:paraId="75FFC643" w14:textId="77777777" w:rsidR="00172336" w:rsidRPr="00D34BE8" w:rsidRDefault="00172336" w:rsidP="00172336">
            <w:pPr>
              <w:jc w:val="both"/>
              <w:rPr>
                <w:color w:val="000000"/>
                <w:sz w:val="20"/>
                <w:szCs w:val="20"/>
              </w:rPr>
            </w:pPr>
          </w:p>
          <w:p w14:paraId="7065FFA8" w14:textId="77777777" w:rsidR="00172336" w:rsidRPr="00D34BE8" w:rsidRDefault="00172336" w:rsidP="00172336">
            <w:pPr>
              <w:jc w:val="both"/>
              <w:rPr>
                <w:color w:val="000000"/>
                <w:sz w:val="20"/>
                <w:szCs w:val="20"/>
              </w:rPr>
            </w:pPr>
            <w:r w:rsidRPr="006D0935">
              <w:rPr>
                <w:color w:val="000000"/>
                <w:sz w:val="20"/>
                <w:szCs w:val="20"/>
                <w:u w:val="single"/>
              </w:rPr>
              <w:t>6° en ce qui concerne un « client - locataire » :</w:t>
            </w:r>
            <w:r w:rsidRPr="00D34BE8">
              <w:rPr>
                <w:color w:val="000000"/>
                <w:sz w:val="20"/>
                <w:szCs w:val="20"/>
              </w:rPr>
              <w:t>le client demande à se domicilier au stade ;</w:t>
            </w:r>
          </w:p>
          <w:p w14:paraId="140DD209" w14:textId="77777777" w:rsidR="00172336" w:rsidRDefault="00172336" w:rsidP="00172336">
            <w:pPr>
              <w:jc w:val="both"/>
              <w:rPr>
                <w:color w:val="000000"/>
                <w:sz w:val="20"/>
                <w:szCs w:val="20"/>
              </w:rPr>
            </w:pPr>
          </w:p>
          <w:p w14:paraId="713F5C70" w14:textId="77777777" w:rsidR="00172336" w:rsidRPr="00D03A20" w:rsidRDefault="00172336" w:rsidP="00172336">
            <w:pPr>
              <w:jc w:val="both"/>
              <w:rPr>
                <w:color w:val="000000"/>
                <w:sz w:val="20"/>
                <w:szCs w:val="20"/>
                <w:u w:val="single"/>
              </w:rPr>
            </w:pPr>
            <w:r w:rsidRPr="00D03A20">
              <w:rPr>
                <w:color w:val="000000"/>
                <w:sz w:val="20"/>
                <w:szCs w:val="20"/>
                <w:u w:val="single"/>
              </w:rPr>
              <w:t>7° en ce qui concerne les opérations :</w:t>
            </w:r>
          </w:p>
          <w:p w14:paraId="26CA253B" w14:textId="77777777" w:rsidR="00172336" w:rsidRPr="00E668FE" w:rsidRDefault="00172336" w:rsidP="00172336">
            <w:pPr>
              <w:jc w:val="both"/>
              <w:rPr>
                <w:color w:val="000000"/>
                <w:sz w:val="20"/>
                <w:szCs w:val="20"/>
              </w:rPr>
            </w:pPr>
          </w:p>
          <w:p w14:paraId="34031BAE" w14:textId="77777777" w:rsidR="00172336" w:rsidRPr="00E668FE" w:rsidRDefault="00172336" w:rsidP="00172336">
            <w:pPr>
              <w:pStyle w:val="Paragraphedeliste"/>
              <w:numPr>
                <w:ilvl w:val="0"/>
                <w:numId w:val="9"/>
              </w:numPr>
              <w:jc w:val="both"/>
              <w:rPr>
                <w:color w:val="000000"/>
                <w:sz w:val="20"/>
                <w:szCs w:val="20"/>
              </w:rPr>
            </w:pPr>
            <w:r w:rsidRPr="00E668FE">
              <w:rPr>
                <w:color w:val="000000"/>
                <w:sz w:val="20"/>
                <w:szCs w:val="20"/>
              </w:rPr>
              <w:t>les paiements sont effectués à partir de ou vers un compte géré par une institution financière établie dans un pays repris sur la liste de pays à haut risques, tenue par le SPF Finances (</w:t>
            </w:r>
            <w:hyperlink r:id="rId18" w:history="1">
              <w:r w:rsidRPr="00E668FE">
                <w:rPr>
                  <w:rStyle w:val="Lienhypertexte"/>
                  <w:sz w:val="20"/>
                  <w:szCs w:val="20"/>
                </w:rPr>
                <w:t>https://finances.belgium.be/fr/pays-hauts-risques</w:t>
              </w:r>
            </w:hyperlink>
            <w:r w:rsidRPr="00E668FE">
              <w:rPr>
                <w:color w:val="000000"/>
                <w:sz w:val="20"/>
                <w:szCs w:val="20"/>
              </w:rPr>
              <w:t>), ou dans un pays figurant à l'article 179 de l'arrêté royal du 27 août 1993 d'exécution du Code des impôts sur les revenus 1992 ;</w:t>
            </w:r>
          </w:p>
          <w:p w14:paraId="7649B47B" w14:textId="77777777" w:rsidR="00172336" w:rsidRPr="00E668FE" w:rsidRDefault="00172336" w:rsidP="00172336">
            <w:pPr>
              <w:pStyle w:val="Paragraphedeliste"/>
              <w:numPr>
                <w:ilvl w:val="0"/>
                <w:numId w:val="9"/>
              </w:numPr>
              <w:jc w:val="both"/>
              <w:rPr>
                <w:color w:val="000000"/>
                <w:sz w:val="20"/>
                <w:szCs w:val="20"/>
              </w:rPr>
            </w:pPr>
            <w:r w:rsidRPr="00E668FE">
              <w:rPr>
                <w:color w:val="000000"/>
                <w:sz w:val="20"/>
                <w:szCs w:val="20"/>
              </w:rPr>
              <w:t>les paiements sont incohérents sur le plan économique ou fiscal et présentent plusieurs caractéristiques inhabituelles ; par exemple, les paiements ne sont pas effectués à partir d'un des comptes bancaires du client mais à partir du compte d'un tiers n'ayant aucun lien avec le client en tant qu'entreprise.</w:t>
            </w:r>
          </w:p>
          <w:p w14:paraId="049DBD76" w14:textId="77777777" w:rsidR="00172336" w:rsidRPr="00D03A20" w:rsidRDefault="00172336" w:rsidP="00172336">
            <w:pPr>
              <w:jc w:val="both"/>
              <w:rPr>
                <w:color w:val="000000"/>
                <w:sz w:val="16"/>
                <w:szCs w:val="16"/>
              </w:rPr>
            </w:pPr>
          </w:p>
          <w:p w14:paraId="327A0533" w14:textId="77777777" w:rsidR="00172336" w:rsidRPr="00D03A20" w:rsidRDefault="00172336" w:rsidP="00172336">
            <w:pPr>
              <w:jc w:val="both"/>
              <w:rPr>
                <w:color w:val="000000"/>
                <w:sz w:val="16"/>
                <w:szCs w:val="16"/>
              </w:rPr>
            </w:pPr>
          </w:p>
          <w:p w14:paraId="0E264B40" w14:textId="77777777" w:rsidR="00172336" w:rsidRPr="006E2452" w:rsidRDefault="00172336" w:rsidP="007A4DC9">
            <w:pPr>
              <w:jc w:val="both"/>
              <w:rPr>
                <w:color w:val="000000"/>
                <w:sz w:val="16"/>
                <w:szCs w:val="16"/>
                <w:u w:val="single"/>
              </w:rPr>
            </w:pPr>
            <w:r>
              <w:rPr>
                <w:color w:val="000000"/>
                <w:sz w:val="20"/>
                <w:szCs w:val="20"/>
                <w:u w:val="single"/>
              </w:rPr>
              <w:t>Les f</w:t>
            </w:r>
            <w:r w:rsidRPr="006E2452">
              <w:rPr>
                <w:color w:val="000000"/>
                <w:sz w:val="20"/>
                <w:szCs w:val="20"/>
                <w:u w:val="single"/>
              </w:rPr>
              <w:t>acteurs empêchant l'entrée en relation d'affaires ou la conclusion d'un contrat sont notamment les suivants :</w:t>
            </w:r>
          </w:p>
          <w:p w14:paraId="6E2181EE" w14:textId="77777777" w:rsidR="00172336" w:rsidRDefault="00172336" w:rsidP="00172336">
            <w:pPr>
              <w:pStyle w:val="Paragraphedeliste"/>
              <w:numPr>
                <w:ilvl w:val="0"/>
                <w:numId w:val="12"/>
              </w:numPr>
              <w:jc w:val="both"/>
              <w:rPr>
                <w:color w:val="000000"/>
                <w:sz w:val="20"/>
                <w:szCs w:val="20"/>
              </w:rPr>
            </w:pPr>
            <w:r w:rsidRPr="00172336">
              <w:rPr>
                <w:color w:val="000000"/>
                <w:sz w:val="20"/>
                <w:szCs w:val="20"/>
              </w:rPr>
              <w:t>il n'est pas possible d'identifier ou de vérifier l'identité du client, de son mandataire ou d'un bénéficiaire effectif au moment déterminé à l'article 30 ou 31 de la loi, conformément à l'article 33, § 1</w:t>
            </w:r>
            <w:r w:rsidRPr="00172336">
              <w:rPr>
                <w:color w:val="000000"/>
                <w:sz w:val="20"/>
                <w:szCs w:val="20"/>
                <w:vertAlign w:val="superscript"/>
              </w:rPr>
              <w:t>er</w:t>
            </w:r>
            <w:r w:rsidRPr="00172336">
              <w:rPr>
                <w:color w:val="000000"/>
                <w:sz w:val="20"/>
                <w:szCs w:val="20"/>
              </w:rPr>
              <w:t>, de la loi ;</w:t>
            </w:r>
          </w:p>
          <w:p w14:paraId="168283B2" w14:textId="77777777" w:rsidR="00172336" w:rsidRDefault="00172336" w:rsidP="00172336">
            <w:pPr>
              <w:pStyle w:val="Paragraphedeliste"/>
              <w:numPr>
                <w:ilvl w:val="0"/>
                <w:numId w:val="12"/>
              </w:numPr>
              <w:jc w:val="both"/>
              <w:rPr>
                <w:color w:val="000000"/>
                <w:sz w:val="20"/>
                <w:szCs w:val="20"/>
              </w:rPr>
            </w:pPr>
            <w:r w:rsidRPr="00172336">
              <w:rPr>
                <w:color w:val="000000"/>
                <w:sz w:val="20"/>
                <w:szCs w:val="20"/>
              </w:rPr>
              <w:t>il n'est pas possible d'identifier les caractéristiques du client, de son mandataire ou d'un bénéficiaire effectif visées à l'article 21 de la loi, au moment déterminé à l'article 30 ou 31 de la loi, conformément à l'article 34, § 3, de la loi ;</w:t>
            </w:r>
          </w:p>
          <w:p w14:paraId="2802FD70" w14:textId="77777777" w:rsidR="00172336" w:rsidRDefault="00172336" w:rsidP="00172336">
            <w:pPr>
              <w:pStyle w:val="Paragraphedeliste"/>
              <w:numPr>
                <w:ilvl w:val="0"/>
                <w:numId w:val="12"/>
              </w:numPr>
              <w:jc w:val="both"/>
              <w:rPr>
                <w:color w:val="000000"/>
                <w:sz w:val="20"/>
                <w:szCs w:val="20"/>
              </w:rPr>
            </w:pPr>
            <w:r w:rsidRPr="00172336">
              <w:rPr>
                <w:color w:val="000000"/>
                <w:sz w:val="20"/>
                <w:szCs w:val="20"/>
              </w:rPr>
              <w:t>le client ou son mandataire indique ou laisse clairement apparaître qu'il ne souhaite pas utiliser d'autres moyens de paiement qu'un paiement en espèces au-delà du montant autorisé par l'article 67 de la loi ;</w:t>
            </w:r>
          </w:p>
          <w:p w14:paraId="15C166E4" w14:textId="77777777" w:rsidR="00172336" w:rsidRPr="00172336" w:rsidRDefault="00172336" w:rsidP="00172336">
            <w:pPr>
              <w:pStyle w:val="Paragraphedeliste"/>
              <w:numPr>
                <w:ilvl w:val="0"/>
                <w:numId w:val="12"/>
              </w:numPr>
              <w:jc w:val="both"/>
              <w:rPr>
                <w:color w:val="000000"/>
                <w:sz w:val="20"/>
                <w:szCs w:val="20"/>
              </w:rPr>
            </w:pPr>
            <w:r w:rsidRPr="00172336">
              <w:rPr>
                <w:color w:val="000000"/>
                <w:sz w:val="20"/>
                <w:szCs w:val="20"/>
              </w:rPr>
              <w:t>le client, le mandataire ou un bénéficiaire effectif figure sur la liste de personnes et d'entités auxquelles s'appliquent des mesures de gel, tenue par le SPF Finances.</w:t>
            </w:r>
          </w:p>
          <w:p w14:paraId="614DCB1E" w14:textId="77777777" w:rsidR="00172336" w:rsidRDefault="00172336" w:rsidP="00D03A20">
            <w:pPr>
              <w:rPr>
                <w:sz w:val="24"/>
                <w:szCs w:val="24"/>
              </w:rPr>
            </w:pPr>
          </w:p>
        </w:tc>
      </w:tr>
    </w:tbl>
    <w:p w14:paraId="1EFC8C79" w14:textId="77777777" w:rsidR="00172336" w:rsidRPr="00172336" w:rsidRDefault="00172336" w:rsidP="00172336">
      <w:pPr>
        <w:pStyle w:val="Paragraphedeliste"/>
        <w:jc w:val="both"/>
        <w:rPr>
          <w:color w:val="000000"/>
          <w:sz w:val="20"/>
          <w:szCs w:val="20"/>
        </w:rPr>
      </w:pPr>
    </w:p>
    <w:sectPr w:rsidR="00172336" w:rsidRPr="0017233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mille Luxen" w:date="2023-05-15T13:37:00Z" w:initials="CL">
    <w:p w14:paraId="3794EAF5" w14:textId="77777777" w:rsidR="00172336" w:rsidRDefault="00172336" w:rsidP="00172336">
      <w:pPr>
        <w:pStyle w:val="Commentaire"/>
      </w:pPr>
      <w:r>
        <w:rPr>
          <w:rStyle w:val="Marquedecommentaire"/>
        </w:rPr>
        <w:annotationRef/>
      </w:r>
      <w:r>
        <w:t>Faire référence à l'AR (</w:t>
      </w:r>
      <w:hyperlink r:id="rId1" w:history="1">
        <w:r w:rsidRPr="00EB6D07">
          <w:rPr>
            <w:rStyle w:val="Lienhypertexte"/>
          </w:rPr>
          <w:t>LOI - WET (fgov.be)</w:t>
        </w:r>
      </w:hyperlink>
      <w:r>
        <w:t xml:space="preserve"> )</w:t>
      </w:r>
    </w:p>
    <w:p w14:paraId="67068055" w14:textId="77777777" w:rsidR="00172336" w:rsidRDefault="00172336" w:rsidP="00172336">
      <w:pPr>
        <w:pStyle w:val="Commentaire"/>
      </w:pPr>
    </w:p>
    <w:p w14:paraId="7F763A15" w14:textId="77777777" w:rsidR="00172336" w:rsidRDefault="00172336" w:rsidP="00172336">
      <w:pPr>
        <w:pStyle w:val="Commentaire"/>
      </w:pPr>
      <w:r>
        <w:t>Car ce sont des copier/coller de l'annexe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763A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0CB41A" w16cex:dateUtc="2023-05-15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763A15" w16cid:durableId="280CB4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A4857" w14:textId="77777777" w:rsidR="0092044A" w:rsidRDefault="0092044A" w:rsidP="005C0D9E">
      <w:pPr>
        <w:spacing w:after="0" w:line="240" w:lineRule="auto"/>
      </w:pPr>
      <w:r>
        <w:separator/>
      </w:r>
    </w:p>
  </w:endnote>
  <w:endnote w:type="continuationSeparator" w:id="0">
    <w:p w14:paraId="32F50205" w14:textId="77777777" w:rsidR="0092044A" w:rsidRDefault="0092044A" w:rsidP="005C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CF5A8" w14:textId="77777777" w:rsidR="0092044A" w:rsidRDefault="0092044A" w:rsidP="005C0D9E">
      <w:pPr>
        <w:spacing w:after="0" w:line="240" w:lineRule="auto"/>
      </w:pPr>
      <w:r>
        <w:separator/>
      </w:r>
    </w:p>
  </w:footnote>
  <w:footnote w:type="continuationSeparator" w:id="0">
    <w:p w14:paraId="16BD7F27" w14:textId="77777777" w:rsidR="0092044A" w:rsidRDefault="0092044A" w:rsidP="005C0D9E">
      <w:pPr>
        <w:spacing w:after="0" w:line="240" w:lineRule="auto"/>
      </w:pPr>
      <w:r>
        <w:continuationSeparator/>
      </w:r>
    </w:p>
  </w:footnote>
  <w:footnote w:id="1">
    <w:p w14:paraId="0FBA03BE" w14:textId="19EB7C83" w:rsidR="008067FD" w:rsidRPr="003D7EF7" w:rsidRDefault="008067FD">
      <w:pPr>
        <w:pStyle w:val="Notedebasdepage"/>
      </w:pPr>
      <w:r>
        <w:rPr>
          <w:rStyle w:val="Appelnotedebasdep"/>
        </w:rPr>
        <w:footnoteRef/>
      </w:r>
      <w:r>
        <w:t xml:space="preserve"> </w:t>
      </w:r>
      <w:r w:rsidRPr="003D7EF7">
        <w:t>Code de droit économique</w:t>
      </w:r>
      <w:r w:rsidR="005E0BBB" w:rsidRPr="003D7EF7">
        <w:t xml:space="preserve"> (Livre XX)</w:t>
      </w:r>
      <w:r w:rsidR="00E90B4B" w:rsidRPr="003D7EF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3CA"/>
    <w:multiLevelType w:val="hybridMultilevel"/>
    <w:tmpl w:val="9210007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0E47B3"/>
    <w:multiLevelType w:val="hybridMultilevel"/>
    <w:tmpl w:val="E922459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BA7C40"/>
    <w:multiLevelType w:val="hybridMultilevel"/>
    <w:tmpl w:val="DB7EFC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B8965D8"/>
    <w:multiLevelType w:val="hybridMultilevel"/>
    <w:tmpl w:val="80F46EAC"/>
    <w:lvl w:ilvl="0" w:tplc="FFFFFFFF">
      <w:start w:val="1"/>
      <w:numFmt w:val="lowerLetter"/>
      <w:lvlText w:val="%1)"/>
      <w:lvlJc w:val="left"/>
      <w:pPr>
        <w:ind w:left="720" w:hanging="360"/>
      </w:pPr>
    </w:lvl>
    <w:lvl w:ilvl="1" w:tplc="2000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296509"/>
    <w:multiLevelType w:val="hybridMultilevel"/>
    <w:tmpl w:val="CBB0C6FA"/>
    <w:lvl w:ilvl="0" w:tplc="8E1064E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B671AD"/>
    <w:multiLevelType w:val="hybridMultilevel"/>
    <w:tmpl w:val="1BE0BB8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7775BD9"/>
    <w:multiLevelType w:val="hybridMultilevel"/>
    <w:tmpl w:val="C626371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ECB5D41"/>
    <w:multiLevelType w:val="hybridMultilevel"/>
    <w:tmpl w:val="AA0C0DB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45F6193"/>
    <w:multiLevelType w:val="hybridMultilevel"/>
    <w:tmpl w:val="00BEB28A"/>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CE312F9"/>
    <w:multiLevelType w:val="hybridMultilevel"/>
    <w:tmpl w:val="BD12FC44"/>
    <w:lvl w:ilvl="0" w:tplc="9B2C754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572784"/>
    <w:multiLevelType w:val="hybridMultilevel"/>
    <w:tmpl w:val="529CB874"/>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A020445"/>
    <w:multiLevelType w:val="hybridMultilevel"/>
    <w:tmpl w:val="512A283E"/>
    <w:lvl w:ilvl="0" w:tplc="20000017">
      <w:start w:val="1"/>
      <w:numFmt w:val="lowerLetter"/>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5901462">
    <w:abstractNumId w:val="9"/>
  </w:num>
  <w:num w:numId="2" w16cid:durableId="1247954511">
    <w:abstractNumId w:val="2"/>
  </w:num>
  <w:num w:numId="3" w16cid:durableId="63576231">
    <w:abstractNumId w:val="10"/>
  </w:num>
  <w:num w:numId="4" w16cid:durableId="1519268915">
    <w:abstractNumId w:val="3"/>
  </w:num>
  <w:num w:numId="5" w16cid:durableId="1863351710">
    <w:abstractNumId w:val="8"/>
  </w:num>
  <w:num w:numId="6" w16cid:durableId="1245845866">
    <w:abstractNumId w:val="11"/>
  </w:num>
  <w:num w:numId="7" w16cid:durableId="600837368">
    <w:abstractNumId w:val="0"/>
  </w:num>
  <w:num w:numId="8" w16cid:durableId="433676474">
    <w:abstractNumId w:val="5"/>
  </w:num>
  <w:num w:numId="9" w16cid:durableId="1658340612">
    <w:abstractNumId w:val="7"/>
  </w:num>
  <w:num w:numId="10" w16cid:durableId="612520096">
    <w:abstractNumId w:val="6"/>
  </w:num>
  <w:num w:numId="11" w16cid:durableId="243301473">
    <w:abstractNumId w:val="1"/>
  </w:num>
  <w:num w:numId="12" w16cid:durableId="19412607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mille Luxen">
    <w15:presenceInfo w15:providerId="AD" w15:userId="S::c.luxen@ibr-ire.be::83da4f78-f94d-4a71-8086-c66108c1c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9E"/>
    <w:rsid w:val="0009016E"/>
    <w:rsid w:val="000E1108"/>
    <w:rsid w:val="00106FEE"/>
    <w:rsid w:val="00110CE7"/>
    <w:rsid w:val="00154CD1"/>
    <w:rsid w:val="00172336"/>
    <w:rsid w:val="001A4D4C"/>
    <w:rsid w:val="001D5124"/>
    <w:rsid w:val="001D596D"/>
    <w:rsid w:val="0023638C"/>
    <w:rsid w:val="00237059"/>
    <w:rsid w:val="00296141"/>
    <w:rsid w:val="002A7935"/>
    <w:rsid w:val="002B0734"/>
    <w:rsid w:val="002B3B65"/>
    <w:rsid w:val="002D32BB"/>
    <w:rsid w:val="00354AAB"/>
    <w:rsid w:val="003D1F4E"/>
    <w:rsid w:val="003D648D"/>
    <w:rsid w:val="003D7EF7"/>
    <w:rsid w:val="004563A2"/>
    <w:rsid w:val="004B1611"/>
    <w:rsid w:val="00553816"/>
    <w:rsid w:val="00565DF9"/>
    <w:rsid w:val="005A619F"/>
    <w:rsid w:val="005C0D9E"/>
    <w:rsid w:val="005C6A10"/>
    <w:rsid w:val="005E0BBB"/>
    <w:rsid w:val="0060706F"/>
    <w:rsid w:val="00623CA3"/>
    <w:rsid w:val="00681C15"/>
    <w:rsid w:val="006D0935"/>
    <w:rsid w:val="006D6532"/>
    <w:rsid w:val="006E2452"/>
    <w:rsid w:val="007058D6"/>
    <w:rsid w:val="00707FAB"/>
    <w:rsid w:val="00711069"/>
    <w:rsid w:val="00757CD0"/>
    <w:rsid w:val="00796377"/>
    <w:rsid w:val="007A4DC9"/>
    <w:rsid w:val="008067FD"/>
    <w:rsid w:val="00817DE2"/>
    <w:rsid w:val="00845F59"/>
    <w:rsid w:val="008817C5"/>
    <w:rsid w:val="008B43E2"/>
    <w:rsid w:val="008C0494"/>
    <w:rsid w:val="008C1532"/>
    <w:rsid w:val="00900E85"/>
    <w:rsid w:val="0092044A"/>
    <w:rsid w:val="00932133"/>
    <w:rsid w:val="009F5BE8"/>
    <w:rsid w:val="00A3013D"/>
    <w:rsid w:val="00A641CE"/>
    <w:rsid w:val="00A64C54"/>
    <w:rsid w:val="00A81977"/>
    <w:rsid w:val="00A95C5C"/>
    <w:rsid w:val="00A96AE8"/>
    <w:rsid w:val="00A97776"/>
    <w:rsid w:val="00AE45C4"/>
    <w:rsid w:val="00B737B0"/>
    <w:rsid w:val="00B80071"/>
    <w:rsid w:val="00BD1706"/>
    <w:rsid w:val="00BD6163"/>
    <w:rsid w:val="00D03A20"/>
    <w:rsid w:val="00D044F5"/>
    <w:rsid w:val="00D04FB9"/>
    <w:rsid w:val="00D15B1E"/>
    <w:rsid w:val="00D2393F"/>
    <w:rsid w:val="00D34BE8"/>
    <w:rsid w:val="00D95101"/>
    <w:rsid w:val="00DF05AB"/>
    <w:rsid w:val="00DF5E99"/>
    <w:rsid w:val="00E668FE"/>
    <w:rsid w:val="00E90B4B"/>
    <w:rsid w:val="00E966C8"/>
    <w:rsid w:val="00EF359D"/>
    <w:rsid w:val="00F01627"/>
    <w:rsid w:val="00F04B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D608"/>
  <w15:chartTrackingRefBased/>
  <w15:docId w15:val="{5057EBCB-15D1-47A2-9EC6-D2531F5B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0D9E"/>
    <w:pPr>
      <w:tabs>
        <w:tab w:val="center" w:pos="4536"/>
        <w:tab w:val="right" w:pos="9072"/>
      </w:tabs>
      <w:spacing w:after="0" w:line="240" w:lineRule="auto"/>
    </w:pPr>
  </w:style>
  <w:style w:type="character" w:customStyle="1" w:styleId="En-tteCar">
    <w:name w:val="En-tête Car"/>
    <w:basedOn w:val="Policepardfaut"/>
    <w:link w:val="En-tte"/>
    <w:uiPriority w:val="99"/>
    <w:rsid w:val="005C0D9E"/>
    <w:rPr>
      <w:lang w:val="fr-BE"/>
    </w:rPr>
  </w:style>
  <w:style w:type="paragraph" w:styleId="Pieddepage">
    <w:name w:val="footer"/>
    <w:basedOn w:val="Normal"/>
    <w:link w:val="PieddepageCar"/>
    <w:uiPriority w:val="99"/>
    <w:unhideWhenUsed/>
    <w:rsid w:val="005C0D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0D9E"/>
    <w:rPr>
      <w:lang w:val="fr-BE"/>
    </w:rPr>
  </w:style>
  <w:style w:type="paragraph" w:styleId="Paragraphedeliste">
    <w:name w:val="List Paragraph"/>
    <w:basedOn w:val="Normal"/>
    <w:uiPriority w:val="34"/>
    <w:qFormat/>
    <w:rsid w:val="005C0D9E"/>
    <w:pPr>
      <w:ind w:left="720"/>
      <w:contextualSpacing/>
    </w:pPr>
  </w:style>
  <w:style w:type="paragraph" w:styleId="Rvision">
    <w:name w:val="Revision"/>
    <w:hidden/>
    <w:uiPriority w:val="99"/>
    <w:semiHidden/>
    <w:rsid w:val="00A3013D"/>
    <w:pPr>
      <w:spacing w:after="0" w:line="240" w:lineRule="auto"/>
    </w:pPr>
    <w:rPr>
      <w:lang w:val="fr-BE"/>
    </w:rPr>
  </w:style>
  <w:style w:type="paragraph" w:styleId="Notedebasdepage">
    <w:name w:val="footnote text"/>
    <w:basedOn w:val="Normal"/>
    <w:link w:val="NotedebasdepageCar"/>
    <w:uiPriority w:val="99"/>
    <w:semiHidden/>
    <w:unhideWhenUsed/>
    <w:rsid w:val="008067F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67FD"/>
    <w:rPr>
      <w:sz w:val="20"/>
      <w:szCs w:val="20"/>
      <w:lang w:val="fr-BE"/>
    </w:rPr>
  </w:style>
  <w:style w:type="character" w:styleId="Appelnotedebasdep">
    <w:name w:val="footnote reference"/>
    <w:basedOn w:val="Policepardfaut"/>
    <w:uiPriority w:val="99"/>
    <w:semiHidden/>
    <w:unhideWhenUsed/>
    <w:rsid w:val="008067FD"/>
    <w:rPr>
      <w:vertAlign w:val="superscript"/>
    </w:rPr>
  </w:style>
  <w:style w:type="character" w:styleId="Lienhypertexte">
    <w:name w:val="Hyperlink"/>
    <w:basedOn w:val="Policepardfaut"/>
    <w:uiPriority w:val="99"/>
    <w:unhideWhenUsed/>
    <w:rsid w:val="008C1532"/>
    <w:rPr>
      <w:color w:val="0563C1" w:themeColor="hyperlink"/>
      <w:u w:val="single"/>
    </w:rPr>
  </w:style>
  <w:style w:type="character" w:styleId="Mentionnonrsolue">
    <w:name w:val="Unresolved Mention"/>
    <w:basedOn w:val="Policepardfaut"/>
    <w:uiPriority w:val="99"/>
    <w:semiHidden/>
    <w:unhideWhenUsed/>
    <w:rsid w:val="008C1532"/>
    <w:rPr>
      <w:color w:val="605E5C"/>
      <w:shd w:val="clear" w:color="auto" w:fill="E1DFDD"/>
    </w:rPr>
  </w:style>
  <w:style w:type="character" w:styleId="Marquedecommentaire">
    <w:name w:val="annotation reference"/>
    <w:basedOn w:val="Policepardfaut"/>
    <w:uiPriority w:val="99"/>
    <w:semiHidden/>
    <w:unhideWhenUsed/>
    <w:rsid w:val="00354AAB"/>
    <w:rPr>
      <w:sz w:val="16"/>
      <w:szCs w:val="16"/>
    </w:rPr>
  </w:style>
  <w:style w:type="paragraph" w:styleId="Commentaire">
    <w:name w:val="annotation text"/>
    <w:basedOn w:val="Normal"/>
    <w:link w:val="CommentaireCar"/>
    <w:uiPriority w:val="99"/>
    <w:unhideWhenUsed/>
    <w:rsid w:val="00354AAB"/>
    <w:pPr>
      <w:spacing w:line="240" w:lineRule="auto"/>
    </w:pPr>
    <w:rPr>
      <w:sz w:val="20"/>
      <w:szCs w:val="20"/>
    </w:rPr>
  </w:style>
  <w:style w:type="character" w:customStyle="1" w:styleId="CommentaireCar">
    <w:name w:val="Commentaire Car"/>
    <w:basedOn w:val="Policepardfaut"/>
    <w:link w:val="Commentaire"/>
    <w:uiPriority w:val="99"/>
    <w:rsid w:val="00354AAB"/>
    <w:rPr>
      <w:sz w:val="20"/>
      <w:szCs w:val="20"/>
      <w:lang w:val="fr-BE"/>
    </w:rPr>
  </w:style>
  <w:style w:type="paragraph" w:styleId="Objetducommentaire">
    <w:name w:val="annotation subject"/>
    <w:basedOn w:val="Commentaire"/>
    <w:next w:val="Commentaire"/>
    <w:link w:val="ObjetducommentaireCar"/>
    <w:uiPriority w:val="99"/>
    <w:semiHidden/>
    <w:unhideWhenUsed/>
    <w:rsid w:val="00354AAB"/>
    <w:rPr>
      <w:b/>
      <w:bCs/>
    </w:rPr>
  </w:style>
  <w:style w:type="character" w:customStyle="1" w:styleId="ObjetducommentaireCar">
    <w:name w:val="Objet du commentaire Car"/>
    <w:basedOn w:val="CommentaireCar"/>
    <w:link w:val="Objetducommentaire"/>
    <w:uiPriority w:val="99"/>
    <w:semiHidden/>
    <w:rsid w:val="00354AAB"/>
    <w:rPr>
      <w:b/>
      <w:bCs/>
      <w:sz w:val="20"/>
      <w:szCs w:val="20"/>
      <w:lang w:val="fr-BE"/>
    </w:rPr>
  </w:style>
  <w:style w:type="table" w:styleId="Grilledutableau">
    <w:name w:val="Table Grid"/>
    <w:basedOn w:val="TableauNormal"/>
    <w:uiPriority w:val="39"/>
    <w:rsid w:val="0017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justice.just.fgov.be/cgi_loi/change_lg.pl?language=fr&amp;la=F&amp;table_name=loi&amp;cn=2023032006"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finances.belgium.be/fr/pays-hauts-risqu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offshoreleaks.icji.org" TargetMode="External"/><Relationship Id="rId2" Type="http://schemas.openxmlformats.org/officeDocument/2006/relationships/customXml" Target="../customXml/item2.xml"/><Relationship Id="rId16" Type="http://schemas.openxmlformats.org/officeDocument/2006/relationships/hyperlink" Target="https://finances.belgium.be/fr/pays-hauts-risques"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ejustice.just.fgov.be/cgi_loi/change_lg.pl?language=fr&amp;la=F&amp;table_name=loi&amp;cn=202303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20" ma:contentTypeDescription="Create a new document." ma:contentTypeScope="" ma:versionID="c060c1d6b2bc144ea1c8de036eeaad27">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3a4ce22458db7c82e2789a1e4671ff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C9059-D4BF-48AA-ADB1-2B47ADC3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EEBDD-D86B-4E5C-9AFD-481735E9E40E}">
  <ds:schemaRefs>
    <ds:schemaRef ds:uri="http://schemas.microsoft.com/sharepoint/v3/contenttype/forms"/>
  </ds:schemaRefs>
</ds:datastoreItem>
</file>

<file path=customXml/itemProps3.xml><?xml version="1.0" encoding="utf-8"?>
<ds:datastoreItem xmlns:ds="http://schemas.openxmlformats.org/officeDocument/2006/customXml" ds:itemID="{53D43C53-FA95-4151-ADF3-BC097D104213}">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4.xml><?xml version="1.0" encoding="utf-8"?>
<ds:datastoreItem xmlns:ds="http://schemas.openxmlformats.org/officeDocument/2006/customXml" ds:itemID="{46244694-CB54-4D6B-97BC-C3177456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 bonhome</dc:creator>
  <cp:keywords/>
  <dc:description/>
  <cp:lastModifiedBy>Camille Luxen</cp:lastModifiedBy>
  <cp:revision>4</cp:revision>
  <dcterms:created xsi:type="dcterms:W3CDTF">2024-06-19T12:35:00Z</dcterms:created>
  <dcterms:modified xsi:type="dcterms:W3CDTF">2024-07-15T10:03:00Z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