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E969F" w14:textId="2B3F341A" w:rsidR="0029046F" w:rsidRPr="00E33B0D" w:rsidRDefault="0029046F" w:rsidP="00D86501">
      <w:pPr>
        <w:pStyle w:val="Kop1"/>
        <w:tabs>
          <w:tab w:val="left" w:pos="4236"/>
        </w:tabs>
        <w:spacing w:line="260" w:lineRule="atLeast"/>
        <w:ind w:left="0" w:right="74"/>
        <w:jc w:val="center"/>
        <w:rPr>
          <w:sz w:val="24"/>
          <w:szCs w:val="24"/>
          <w:lang w:val="nl-BE"/>
        </w:rPr>
      </w:pPr>
      <w:r w:rsidRPr="00E33B0D">
        <w:rPr>
          <w:rFonts w:cs="Times New Roman"/>
          <w:sz w:val="24"/>
          <w:szCs w:val="24"/>
          <w:lang w:val="nl-BE"/>
        </w:rPr>
        <w:t xml:space="preserve">Verslag van </w:t>
      </w:r>
      <w:r w:rsidRPr="00080A18">
        <w:rPr>
          <w:rFonts w:cs="Times New Roman"/>
          <w:sz w:val="24"/>
          <w:szCs w:val="24"/>
          <w:lang w:val="nl-BE"/>
        </w:rPr>
        <w:t xml:space="preserve">de </w:t>
      </w:r>
      <w:r w:rsidRPr="00D85A51">
        <w:rPr>
          <w:rFonts w:cs="Times New Roman"/>
          <w:sz w:val="24"/>
          <w:szCs w:val="24"/>
          <w:lang w:val="nl-BE"/>
        </w:rPr>
        <w:t>bedrijfsrevisor</w:t>
      </w:r>
      <w:r w:rsidRPr="00E33B0D">
        <w:rPr>
          <w:rFonts w:cs="Times New Roman"/>
          <w:sz w:val="24"/>
          <w:szCs w:val="24"/>
          <w:lang w:val="nl-BE"/>
        </w:rPr>
        <w:t xml:space="preserve"> over de geconsolideerde rekening van de politieke partij </w:t>
      </w:r>
      <w:r w:rsidRPr="00E33B0D">
        <w:rPr>
          <w:rFonts w:cs="Times New Roman"/>
          <w:sz w:val="24"/>
          <w:szCs w:val="24"/>
          <w:highlight w:val="lightGray"/>
          <w:lang w:val="nl-BE"/>
        </w:rPr>
        <w:t>[Naam partij]</w:t>
      </w:r>
      <w:r w:rsidR="00AD4B00" w:rsidRPr="00E33B0D">
        <w:rPr>
          <w:rFonts w:cs="Times New Roman"/>
          <w:sz w:val="24"/>
          <w:szCs w:val="24"/>
          <w:lang w:val="nl-BE"/>
        </w:rPr>
        <w:t xml:space="preserve"> </w:t>
      </w:r>
      <w:r w:rsidRPr="00E33B0D">
        <w:rPr>
          <w:rFonts w:cs="Times New Roman"/>
          <w:sz w:val="24"/>
          <w:szCs w:val="24"/>
          <w:lang w:val="nl-BE"/>
        </w:rPr>
        <w:t>en haar componenten afgesloten op 31 december 201</w:t>
      </w:r>
      <w:r w:rsidRPr="00E33B0D">
        <w:rPr>
          <w:rFonts w:cs="Times New Roman"/>
          <w:sz w:val="24"/>
          <w:szCs w:val="24"/>
          <w:highlight w:val="lightGray"/>
          <w:lang w:val="nl-BE"/>
        </w:rPr>
        <w:t>X</w:t>
      </w:r>
      <w:r w:rsidRPr="00E33B0D">
        <w:rPr>
          <w:rFonts w:cs="Times New Roman"/>
          <w:sz w:val="24"/>
          <w:szCs w:val="24"/>
          <w:lang w:val="nl-BE"/>
        </w:rPr>
        <w:t xml:space="preserve"> en bestemd voor de Voorzitter van </w:t>
      </w:r>
      <w:r w:rsidR="00605EDB">
        <w:rPr>
          <w:rFonts w:cs="Times New Roman"/>
          <w:sz w:val="24"/>
          <w:szCs w:val="24"/>
          <w:lang w:val="nl-BE"/>
        </w:rPr>
        <w:t>het</w:t>
      </w:r>
      <w:r w:rsidRPr="00E33B0D">
        <w:rPr>
          <w:rFonts w:cs="Times New Roman"/>
          <w:sz w:val="24"/>
          <w:szCs w:val="24"/>
          <w:lang w:val="nl-BE"/>
        </w:rPr>
        <w:t xml:space="preserve"> </w:t>
      </w:r>
      <w:r w:rsidR="00605EDB">
        <w:rPr>
          <w:rFonts w:cs="Times New Roman"/>
          <w:sz w:val="24"/>
          <w:szCs w:val="24"/>
          <w:lang w:val="nl-BE"/>
        </w:rPr>
        <w:t xml:space="preserve"> bestuursorgaan</w:t>
      </w:r>
      <w:r w:rsidR="00605EDB" w:rsidRPr="00E33B0D">
        <w:rPr>
          <w:rFonts w:cs="Times New Roman"/>
          <w:sz w:val="24"/>
          <w:szCs w:val="24"/>
          <w:lang w:val="nl-BE"/>
        </w:rPr>
        <w:t xml:space="preserve"> </w:t>
      </w:r>
      <w:r w:rsidRPr="00E33B0D">
        <w:rPr>
          <w:rFonts w:cs="Times New Roman"/>
          <w:sz w:val="24"/>
          <w:szCs w:val="24"/>
          <w:lang w:val="nl-BE"/>
        </w:rPr>
        <w:t xml:space="preserve">van </w:t>
      </w:r>
      <w:r w:rsidRPr="00E33B0D">
        <w:rPr>
          <w:rFonts w:cs="Times New Roman"/>
          <w:sz w:val="24"/>
          <w:szCs w:val="24"/>
          <w:highlight w:val="lightGray"/>
          <w:lang w:val="nl-BE"/>
        </w:rPr>
        <w:t>[de consoliderende entiteit]</w:t>
      </w:r>
      <w:r w:rsidRPr="00E33B0D">
        <w:rPr>
          <w:rFonts w:cs="Times New Roman"/>
          <w:sz w:val="24"/>
          <w:szCs w:val="24"/>
          <w:lang w:val="nl-BE"/>
        </w:rPr>
        <w:t xml:space="preserve"> die dit verslag moet opnemen in het financieel verslag van </w:t>
      </w:r>
      <w:r w:rsidRPr="00E33B0D">
        <w:rPr>
          <w:rFonts w:cs="Times New Roman"/>
          <w:sz w:val="24"/>
          <w:szCs w:val="24"/>
          <w:highlight w:val="lightGray"/>
          <w:lang w:val="nl-BE"/>
        </w:rPr>
        <w:t>[de consoliderende entiteit]</w:t>
      </w:r>
      <w:r w:rsidRPr="00E33B0D">
        <w:rPr>
          <w:rFonts w:cs="Times New Roman"/>
          <w:sz w:val="24"/>
          <w:szCs w:val="24"/>
          <w:lang w:val="nl-BE"/>
        </w:rPr>
        <w:t xml:space="preserve">, overeenkomstig artikel 24 van de wet van 4 juli 1989 betreffende de beperking en de controle van de verkiezingsuitgaven voor de verkiezingen van de Kamer van </w:t>
      </w:r>
      <w:r w:rsidR="00E33B0D" w:rsidRPr="00E33B0D">
        <w:rPr>
          <w:rFonts w:cs="Times New Roman"/>
          <w:sz w:val="24"/>
          <w:szCs w:val="24"/>
          <w:lang w:val="nl-BE"/>
        </w:rPr>
        <w:t>V</w:t>
      </w:r>
      <w:r w:rsidRPr="00E33B0D">
        <w:rPr>
          <w:rFonts w:cs="Times New Roman"/>
          <w:sz w:val="24"/>
          <w:szCs w:val="24"/>
          <w:lang w:val="nl-BE"/>
        </w:rPr>
        <w:t>olksvertegenwoordigers, de financiering en de open boekhouding van de politieke partij, gericht aan de Voorzitter van de Kamer van Volksvertegenwoordigers</w:t>
      </w:r>
    </w:p>
    <w:p w14:paraId="0FDD10AB" w14:textId="2ED526E5" w:rsidR="008D64D3" w:rsidRPr="00E33B0D" w:rsidRDefault="008D64D3" w:rsidP="00B54106">
      <w:pPr>
        <w:rPr>
          <w:lang w:val="nl-BE"/>
        </w:rPr>
      </w:pPr>
    </w:p>
    <w:p w14:paraId="4241F090" w14:textId="557CC559" w:rsidR="008D64D3" w:rsidRPr="00956331" w:rsidRDefault="008D64D3" w:rsidP="00B54106">
      <w:pPr>
        <w:rPr>
          <w:rFonts w:ascii="Times New Roman" w:hAnsi="Times New Roman" w:cs="Times New Roman"/>
          <w:highlight w:val="lightGray"/>
          <w:lang w:val="nl-BE"/>
        </w:rPr>
      </w:pPr>
      <w:r w:rsidRPr="00E33B0D">
        <w:rPr>
          <w:rFonts w:ascii="Times New Roman" w:hAnsi="Times New Roman" w:cs="Times New Roman"/>
          <w:lang w:val="nl-BE"/>
        </w:rPr>
        <w:t>Overeenkomstig artikel 23, § 2 van de wet van 4 juli 1989 betreffende de beperking en de controle van de verkiezingsuitgaven voor de verkiezingen van de Kamer van Volksvertegenwoordigers, de financiering en de open boekhouding van d</w:t>
      </w:r>
      <w:r w:rsidR="00EF1C78" w:rsidRPr="00E33B0D">
        <w:rPr>
          <w:rFonts w:ascii="Times New Roman" w:hAnsi="Times New Roman" w:cs="Times New Roman"/>
          <w:lang w:val="nl-BE"/>
        </w:rPr>
        <w:t xml:space="preserve">e </w:t>
      </w:r>
      <w:r w:rsidRPr="00E33B0D">
        <w:rPr>
          <w:rFonts w:ascii="Times New Roman" w:hAnsi="Times New Roman" w:cs="Times New Roman"/>
          <w:lang w:val="nl-BE"/>
        </w:rPr>
        <w:t xml:space="preserve">politieke partijen (hierna “de Wet van 4 juli 1989”), brengen wij u verslag uit in het kader van </w:t>
      </w:r>
      <w:r w:rsidRPr="00080A18">
        <w:rPr>
          <w:rFonts w:ascii="Times New Roman" w:hAnsi="Times New Roman" w:cs="Times New Roman"/>
          <w:lang w:val="nl-BE"/>
        </w:rPr>
        <w:t>onze</w:t>
      </w:r>
      <w:r w:rsidRPr="00D85A51">
        <w:rPr>
          <w:rFonts w:ascii="Times New Roman" w:hAnsi="Times New Roman" w:cs="Times New Roman"/>
          <w:lang w:val="nl-BE"/>
        </w:rPr>
        <w:t xml:space="preserve"> opdracht</w:t>
      </w:r>
      <w:r w:rsidRPr="00080A18">
        <w:rPr>
          <w:rFonts w:ascii="Times New Roman" w:hAnsi="Times New Roman" w:cs="Times New Roman"/>
          <w:lang w:val="nl-BE"/>
        </w:rPr>
        <w:t xml:space="preserve"> van </w:t>
      </w:r>
      <w:r w:rsidRPr="00D85A51">
        <w:rPr>
          <w:rFonts w:ascii="Times New Roman" w:hAnsi="Times New Roman" w:cs="Times New Roman"/>
          <w:lang w:val="nl-BE"/>
        </w:rPr>
        <w:t>bedrijfsrevisor</w:t>
      </w:r>
      <w:r w:rsidRPr="00080A18">
        <w:rPr>
          <w:rFonts w:ascii="Times New Roman" w:hAnsi="Times New Roman" w:cs="Times New Roman"/>
          <w:lang w:val="nl-BE"/>
        </w:rPr>
        <w:t xml:space="preserve"> over</w:t>
      </w:r>
      <w:r w:rsidRPr="00E33B0D">
        <w:rPr>
          <w:rFonts w:ascii="Times New Roman" w:hAnsi="Times New Roman" w:cs="Times New Roman"/>
          <w:lang w:val="nl-BE"/>
        </w:rPr>
        <w:t xml:space="preserve"> de uitvoering van de contro</w:t>
      </w:r>
      <w:r w:rsidR="00EF1C78" w:rsidRPr="00E33B0D">
        <w:rPr>
          <w:rFonts w:ascii="Times New Roman" w:hAnsi="Times New Roman" w:cs="Times New Roman"/>
          <w:lang w:val="nl-BE"/>
        </w:rPr>
        <w:t>le</w:t>
      </w:r>
      <w:r w:rsidRPr="00E33B0D">
        <w:rPr>
          <w:rFonts w:ascii="Times New Roman" w:hAnsi="Times New Roman" w:cs="Times New Roman"/>
          <w:lang w:val="nl-BE"/>
        </w:rPr>
        <w:t xml:space="preserve">opdracht die ons werd toevertrouwd door het bestuursorgaan van </w:t>
      </w:r>
      <w:r w:rsidRPr="00E33B0D">
        <w:rPr>
          <w:rFonts w:ascii="Times New Roman" w:hAnsi="Times New Roman" w:cs="Times New Roman"/>
          <w:highlight w:val="lightGray"/>
          <w:lang w:val="nl-BE"/>
        </w:rPr>
        <w:t>[de consoliderende entiteit].</w:t>
      </w:r>
    </w:p>
    <w:p w14:paraId="585F3E82" w14:textId="7E9698A5" w:rsidR="008D64D3" w:rsidRPr="00E33B0D" w:rsidRDefault="005D455F" w:rsidP="00B54106">
      <w:pPr>
        <w:rPr>
          <w:rFonts w:ascii="Times New Roman" w:hAnsi="Times New Roman" w:cs="Times New Roman"/>
          <w:lang w:val="nl-BE"/>
        </w:rPr>
      </w:pPr>
      <w:r w:rsidRPr="00E33B0D">
        <w:rPr>
          <w:rFonts w:ascii="Times New Roman" w:hAnsi="Times New Roman" w:cs="Times New Roman"/>
          <w:lang w:val="nl-BE"/>
        </w:rPr>
        <w:t>Het financieel verslag, waarvan de inhoud werd vastge</w:t>
      </w:r>
      <w:r w:rsidR="00EF1C78" w:rsidRPr="00E33B0D">
        <w:rPr>
          <w:rFonts w:ascii="Times New Roman" w:hAnsi="Times New Roman" w:cs="Times New Roman"/>
          <w:lang w:val="nl-BE"/>
        </w:rPr>
        <w:t>leg</w:t>
      </w:r>
      <w:r w:rsidRPr="00E33B0D">
        <w:rPr>
          <w:rFonts w:ascii="Times New Roman" w:hAnsi="Times New Roman" w:cs="Times New Roman"/>
          <w:lang w:val="nl-BE"/>
        </w:rPr>
        <w:t>d in de bijlage van de Wet van de 4 juli 1989, omvat:</w:t>
      </w:r>
    </w:p>
    <w:p w14:paraId="726AFEBB" w14:textId="0DBB3177" w:rsidR="00EF1C78" w:rsidRPr="00E33B0D" w:rsidRDefault="00EF1C78" w:rsidP="00B54106">
      <w:pPr>
        <w:rPr>
          <w:rFonts w:ascii="Times New Roman" w:hAnsi="Times New Roman" w:cs="Times New Roman"/>
          <w:lang w:val="nl-BE"/>
        </w:rPr>
      </w:pPr>
    </w:p>
    <w:p w14:paraId="61655A80" w14:textId="1CA405A2" w:rsidR="00EF1C78" w:rsidRPr="00E33B0D" w:rsidRDefault="002E735C" w:rsidP="00EF1C78">
      <w:pPr>
        <w:pStyle w:val="Lijstalinea"/>
        <w:numPr>
          <w:ilvl w:val="0"/>
          <w:numId w:val="10"/>
        </w:numPr>
        <w:rPr>
          <w:rFonts w:ascii="Times New Roman" w:hAnsi="Times New Roman" w:cs="Times New Roman"/>
          <w:lang w:val="nl-BE"/>
        </w:rPr>
      </w:pPr>
      <w:r w:rsidRPr="00E33B0D">
        <w:rPr>
          <w:rFonts w:ascii="Times New Roman" w:hAnsi="Times New Roman" w:cs="Times New Roman"/>
          <w:lang w:val="nl-BE"/>
        </w:rPr>
        <w:t>Een document met de identificatie van de partij en haar componenten, zoals omsc</w:t>
      </w:r>
      <w:r w:rsidR="00CA635D" w:rsidRPr="00E33B0D">
        <w:rPr>
          <w:rFonts w:ascii="Times New Roman" w:hAnsi="Times New Roman" w:cs="Times New Roman"/>
          <w:lang w:val="nl-BE"/>
        </w:rPr>
        <w:t>h</w:t>
      </w:r>
      <w:r w:rsidRPr="00E33B0D">
        <w:rPr>
          <w:rFonts w:ascii="Times New Roman" w:hAnsi="Times New Roman" w:cs="Times New Roman"/>
          <w:lang w:val="nl-BE"/>
        </w:rPr>
        <w:t xml:space="preserve">reven in artikel 1, 1°, tweede lid. De identificatie </w:t>
      </w:r>
      <w:r w:rsidR="00CA635D" w:rsidRPr="00E33B0D">
        <w:rPr>
          <w:rFonts w:ascii="Times New Roman" w:hAnsi="Times New Roman" w:cs="Times New Roman"/>
          <w:lang w:val="nl-BE"/>
        </w:rPr>
        <w:t xml:space="preserve">omvat minstens de benaming, de zetel, de rechtsvorm, het maatschappelijk doel en de samenstelling (naam, woonplaats, beroep) van de beheers- en controleorganen van elk van de partijcomponenten. </w:t>
      </w:r>
    </w:p>
    <w:p w14:paraId="5B78E613" w14:textId="79A1D4A0" w:rsidR="00CA635D" w:rsidRPr="00E33B0D" w:rsidRDefault="00CA635D" w:rsidP="00EF1C78">
      <w:pPr>
        <w:pStyle w:val="Lijstalinea"/>
        <w:numPr>
          <w:ilvl w:val="0"/>
          <w:numId w:val="10"/>
        </w:numPr>
        <w:rPr>
          <w:rFonts w:ascii="Times New Roman" w:hAnsi="Times New Roman" w:cs="Times New Roman"/>
          <w:lang w:val="nl-BE"/>
        </w:rPr>
      </w:pPr>
      <w:r w:rsidRPr="00E33B0D">
        <w:rPr>
          <w:rFonts w:ascii="Times New Roman" w:hAnsi="Times New Roman" w:cs="Times New Roman"/>
          <w:lang w:val="nl-BE"/>
        </w:rPr>
        <w:t>De balans en de resultatenrekening van elke component van de politieke partij, volgens de definitie ervan in artikel 1, 1°, tweede lid, opgesteld volgens het schema vastgelegd door de Controlecommissie betreffende de verkiezingsuitgaven en de boekhouding van de politieke partijen.</w:t>
      </w:r>
    </w:p>
    <w:p w14:paraId="5066ED8B" w14:textId="19AF5A06" w:rsidR="00CA635D" w:rsidRPr="00E33B0D" w:rsidRDefault="00285069" w:rsidP="00EF1C78">
      <w:pPr>
        <w:pStyle w:val="Lijstalinea"/>
        <w:numPr>
          <w:ilvl w:val="0"/>
          <w:numId w:val="10"/>
        </w:numPr>
        <w:rPr>
          <w:rFonts w:ascii="Times New Roman" w:hAnsi="Times New Roman" w:cs="Times New Roman"/>
          <w:lang w:val="nl-BE"/>
        </w:rPr>
      </w:pPr>
      <w:r w:rsidRPr="00E33B0D">
        <w:rPr>
          <w:rFonts w:ascii="Times New Roman" w:hAnsi="Times New Roman" w:cs="Times New Roman"/>
          <w:lang w:val="nl-BE"/>
        </w:rPr>
        <w:t xml:space="preserve">De geconsolideerde rekening van de politieke partij en haar componenten bestaande uit een geconsolideerde balans, een geconsolideerde resultatenrekening, alsook een verklarende toelichting van de rubrieken van de geconsolideerde balans en van de geconsolideerde resultatenrekening, volgens het schema vastgelegd door de Controlecommissie betreffende de verkiezingsuitgaven en de boekhouding van de politieke partijen. </w:t>
      </w:r>
    </w:p>
    <w:p w14:paraId="771D5338" w14:textId="5F40929F" w:rsidR="00D86501" w:rsidRPr="00E33B0D" w:rsidRDefault="00D86501" w:rsidP="00D86501">
      <w:pPr>
        <w:rPr>
          <w:rFonts w:ascii="Times New Roman" w:hAnsi="Times New Roman" w:cs="Times New Roman"/>
          <w:lang w:val="nl-BE"/>
        </w:rPr>
      </w:pPr>
    </w:p>
    <w:p w14:paraId="4B45B654" w14:textId="6C3323A8" w:rsidR="00D86501" w:rsidRPr="00E33B0D" w:rsidRDefault="00D86501" w:rsidP="00D86501">
      <w:pPr>
        <w:rPr>
          <w:rFonts w:ascii="Times New Roman" w:hAnsi="Times New Roman" w:cs="Times New Roman"/>
          <w:lang w:val="nl-BE"/>
        </w:rPr>
      </w:pPr>
      <w:r w:rsidRPr="00E33B0D">
        <w:rPr>
          <w:rFonts w:ascii="Times New Roman" w:hAnsi="Times New Roman" w:cs="Times New Roman"/>
          <w:lang w:val="nl-BE"/>
        </w:rPr>
        <w:t>Onderhavig verslag maakt integraal deel uit van hat financieel verslag.</w:t>
      </w:r>
    </w:p>
    <w:p w14:paraId="00EBDE2B" w14:textId="73B6CE17" w:rsidR="00D86501" w:rsidRPr="00E33B0D" w:rsidRDefault="00D86501" w:rsidP="00D86501">
      <w:pPr>
        <w:rPr>
          <w:rFonts w:ascii="Times New Roman" w:hAnsi="Times New Roman" w:cs="Times New Roman"/>
          <w:lang w:val="nl-BE"/>
        </w:rPr>
      </w:pPr>
    </w:p>
    <w:p w14:paraId="470D4A95" w14:textId="2EABC478" w:rsidR="00D86501" w:rsidRPr="00E33B0D" w:rsidRDefault="00D86501" w:rsidP="00D86501">
      <w:pPr>
        <w:rPr>
          <w:rFonts w:ascii="Times New Roman" w:hAnsi="Times New Roman" w:cs="Times New Roman"/>
          <w:lang w:val="nl-BE"/>
        </w:rPr>
      </w:pPr>
      <w:r w:rsidRPr="00E33B0D">
        <w:rPr>
          <w:rFonts w:ascii="Times New Roman" w:hAnsi="Times New Roman" w:cs="Times New Roman"/>
          <w:lang w:val="nl-BE"/>
        </w:rPr>
        <w:t xml:space="preserve">De opdracht van de </w:t>
      </w:r>
      <w:r w:rsidR="00605EDB">
        <w:rPr>
          <w:rFonts w:ascii="Times New Roman" w:hAnsi="Times New Roman" w:cs="Times New Roman"/>
          <w:lang w:val="nl-BE"/>
        </w:rPr>
        <w:t>bedrijfsrevisor</w:t>
      </w:r>
      <w:r w:rsidR="00605EDB" w:rsidRPr="00E33B0D">
        <w:rPr>
          <w:rFonts w:ascii="Times New Roman" w:hAnsi="Times New Roman" w:cs="Times New Roman"/>
          <w:lang w:val="nl-BE"/>
        </w:rPr>
        <w:t xml:space="preserve"> </w:t>
      </w:r>
      <w:r w:rsidRPr="00E33B0D">
        <w:rPr>
          <w:rFonts w:ascii="Times New Roman" w:hAnsi="Times New Roman" w:cs="Times New Roman"/>
          <w:lang w:val="nl-BE"/>
        </w:rPr>
        <w:t>met betrekking tot de geconsolideerde rekening werd vastgelegd in de bijlage van de Wet van 4 juli 1989 en omhelst:</w:t>
      </w:r>
    </w:p>
    <w:p w14:paraId="053E011F" w14:textId="36BDC805" w:rsidR="00D86501" w:rsidRPr="00E33B0D" w:rsidRDefault="00D86501" w:rsidP="00D86501">
      <w:pPr>
        <w:rPr>
          <w:rFonts w:ascii="Times New Roman" w:hAnsi="Times New Roman" w:cs="Times New Roman"/>
          <w:lang w:val="nl-BE"/>
        </w:rPr>
      </w:pPr>
    </w:p>
    <w:p w14:paraId="29AF45C7" w14:textId="3BEEBC94" w:rsidR="00D86501" w:rsidRPr="00E33B0D" w:rsidRDefault="00D86501" w:rsidP="00D86501">
      <w:pPr>
        <w:pStyle w:val="Lijstalinea"/>
        <w:numPr>
          <w:ilvl w:val="0"/>
          <w:numId w:val="11"/>
        </w:numPr>
        <w:rPr>
          <w:rFonts w:ascii="Times New Roman" w:hAnsi="Times New Roman" w:cs="Times New Roman"/>
          <w:lang w:val="nl-BE"/>
        </w:rPr>
      </w:pPr>
      <w:r w:rsidRPr="00E33B0D">
        <w:rPr>
          <w:rFonts w:ascii="Times New Roman" w:hAnsi="Times New Roman" w:cs="Times New Roman"/>
          <w:lang w:val="nl-BE"/>
        </w:rPr>
        <w:t xml:space="preserve">Het bevestigen dat de geconsolideerde rekening opgesteld is overeenkomstig de reglementaire bepalingen. Dit verslag geldt als een verklaring overeenkomstig de geldende controlenormen van het Instituut van de Bedrijfsrevisoren. </w:t>
      </w:r>
    </w:p>
    <w:p w14:paraId="50C54F09" w14:textId="4E434F8F" w:rsidR="00D86501" w:rsidRPr="00E33B0D" w:rsidRDefault="00D86501" w:rsidP="00D86501">
      <w:pPr>
        <w:pStyle w:val="Lijstalinea"/>
        <w:numPr>
          <w:ilvl w:val="0"/>
          <w:numId w:val="11"/>
        </w:numPr>
        <w:rPr>
          <w:rFonts w:ascii="Times New Roman" w:hAnsi="Times New Roman" w:cs="Times New Roman"/>
          <w:lang w:val="nl-BE"/>
        </w:rPr>
      </w:pPr>
      <w:r w:rsidRPr="00E33B0D">
        <w:rPr>
          <w:rFonts w:ascii="Times New Roman" w:hAnsi="Times New Roman" w:cs="Times New Roman"/>
          <w:lang w:val="nl-BE"/>
        </w:rPr>
        <w:t xml:space="preserve">Toelichten of de administratieve en boekhoudkundige organisatie van de partij en haar componenten voldoende is om geconsolideerde rekeningen op te maken. </w:t>
      </w:r>
    </w:p>
    <w:p w14:paraId="074FF193" w14:textId="70DD7F29" w:rsidR="00D86501" w:rsidRPr="00E33B0D" w:rsidRDefault="00D86501" w:rsidP="00D86501">
      <w:pPr>
        <w:pStyle w:val="Lijstalinea"/>
        <w:numPr>
          <w:ilvl w:val="0"/>
          <w:numId w:val="11"/>
        </w:numPr>
        <w:rPr>
          <w:rFonts w:ascii="Times New Roman" w:hAnsi="Times New Roman" w:cs="Times New Roman"/>
          <w:lang w:val="nl-BE"/>
        </w:rPr>
      </w:pPr>
      <w:r w:rsidRPr="00E33B0D">
        <w:rPr>
          <w:rFonts w:ascii="Times New Roman" w:hAnsi="Times New Roman" w:cs="Times New Roman"/>
          <w:lang w:val="nl-BE"/>
        </w:rPr>
        <w:t xml:space="preserve">Ontleden van de geconsolideerde rekening, waarbij de aandacht wordt gevestigd op de aspecten die het begrip van de financiële toestand en resultaten, alsook de vergelijkbaarheid kunnen bevorderen. </w:t>
      </w:r>
    </w:p>
    <w:p w14:paraId="3B63C588" w14:textId="7D9DD8FB" w:rsidR="008D64D3" w:rsidRPr="00E33B0D" w:rsidRDefault="008D64D3" w:rsidP="00B54106">
      <w:pPr>
        <w:rPr>
          <w:lang w:val="nl-BE"/>
        </w:rPr>
      </w:pPr>
    </w:p>
    <w:p w14:paraId="2B9A0893" w14:textId="4F47BEC0" w:rsidR="008D64D3" w:rsidRPr="00E33B0D" w:rsidRDefault="008D64D3" w:rsidP="00B54106">
      <w:pPr>
        <w:rPr>
          <w:lang w:val="nl-BE"/>
        </w:rPr>
      </w:pPr>
    </w:p>
    <w:p w14:paraId="0E6DB34E" w14:textId="21846BDD" w:rsidR="008D64D3" w:rsidRPr="00E33B0D" w:rsidRDefault="008D64D3" w:rsidP="00B54106">
      <w:pPr>
        <w:rPr>
          <w:lang w:val="nl-BE"/>
        </w:rPr>
      </w:pPr>
    </w:p>
    <w:p w14:paraId="702ABD6C" w14:textId="32B1C4A8" w:rsidR="008D64D3" w:rsidRPr="00E33B0D" w:rsidRDefault="008D64D3" w:rsidP="00B54106">
      <w:pPr>
        <w:rPr>
          <w:lang w:val="nl-BE"/>
        </w:rPr>
      </w:pPr>
    </w:p>
    <w:p w14:paraId="68D23493" w14:textId="6337D98C" w:rsidR="008D64D3" w:rsidRPr="00E33B0D" w:rsidRDefault="008D64D3" w:rsidP="00B54106">
      <w:pPr>
        <w:rPr>
          <w:lang w:val="nl-BE"/>
        </w:rPr>
      </w:pPr>
    </w:p>
    <w:p w14:paraId="70A1AA25" w14:textId="050948ED" w:rsidR="008D64D3" w:rsidRPr="00E33B0D" w:rsidRDefault="008D64D3" w:rsidP="00B54106">
      <w:pPr>
        <w:rPr>
          <w:lang w:val="nl-BE"/>
        </w:rPr>
      </w:pPr>
    </w:p>
    <w:p w14:paraId="503F6CC3" w14:textId="2C3C4550" w:rsidR="008D64D3" w:rsidRPr="00E33B0D" w:rsidRDefault="008D64D3" w:rsidP="00B54106">
      <w:pPr>
        <w:rPr>
          <w:lang w:val="nl-BE"/>
        </w:rPr>
      </w:pPr>
    </w:p>
    <w:p w14:paraId="1F3BEB0D" w14:textId="58B51528" w:rsidR="008D64D3" w:rsidRPr="00E33B0D" w:rsidRDefault="008D64D3" w:rsidP="00B54106">
      <w:pPr>
        <w:rPr>
          <w:lang w:val="nl-BE"/>
        </w:rPr>
      </w:pPr>
    </w:p>
    <w:p w14:paraId="35F98BA7" w14:textId="416F63A1" w:rsidR="008D64D3" w:rsidRPr="00E33B0D" w:rsidRDefault="008D64D3" w:rsidP="00B54106">
      <w:pPr>
        <w:rPr>
          <w:lang w:val="nl-BE"/>
        </w:rPr>
      </w:pPr>
    </w:p>
    <w:p w14:paraId="694DE8C9" w14:textId="6CE843EE" w:rsidR="008D64D3" w:rsidRPr="00E33B0D" w:rsidRDefault="008D64D3" w:rsidP="00B54106">
      <w:pPr>
        <w:rPr>
          <w:lang w:val="nl-BE"/>
        </w:rPr>
      </w:pPr>
    </w:p>
    <w:p w14:paraId="2582E44B" w14:textId="11A46363" w:rsidR="00675167" w:rsidRPr="00E33B0D" w:rsidRDefault="00675167">
      <w:pPr>
        <w:rPr>
          <w:lang w:val="nl-BE"/>
        </w:rPr>
      </w:pPr>
      <w:r w:rsidRPr="00E33B0D">
        <w:rPr>
          <w:lang w:val="nl-BE"/>
        </w:rPr>
        <w:br w:type="page"/>
      </w:r>
    </w:p>
    <w:p w14:paraId="7FFFDA9E" w14:textId="74AC986E" w:rsidR="00726F7E" w:rsidRPr="00E33B0D" w:rsidRDefault="00726F7E" w:rsidP="00B54106">
      <w:pPr>
        <w:pStyle w:val="Kop1"/>
        <w:spacing w:line="260" w:lineRule="atLeast"/>
        <w:ind w:left="0"/>
        <w:jc w:val="both"/>
        <w:rPr>
          <w:sz w:val="28"/>
          <w:szCs w:val="28"/>
          <w:lang w:val="nl-BE"/>
        </w:rPr>
      </w:pPr>
      <w:r w:rsidRPr="00E33B0D">
        <w:rPr>
          <w:sz w:val="28"/>
          <w:szCs w:val="28"/>
          <w:lang w:val="nl-BE"/>
        </w:rPr>
        <w:lastRenderedPageBreak/>
        <w:t>Verslag op de geconsolideerde jaarrekening</w:t>
      </w:r>
    </w:p>
    <w:p w14:paraId="346AA1D6" w14:textId="77777777" w:rsidR="00B54106" w:rsidRPr="00E33B0D" w:rsidRDefault="00B54106" w:rsidP="00B54106">
      <w:pPr>
        <w:pStyle w:val="Kop1"/>
        <w:spacing w:line="260" w:lineRule="atLeast"/>
        <w:ind w:left="0"/>
        <w:jc w:val="both"/>
        <w:rPr>
          <w:sz w:val="22"/>
          <w:szCs w:val="22"/>
          <w:lang w:val="nl-BE"/>
        </w:rPr>
      </w:pPr>
    </w:p>
    <w:p w14:paraId="082C64BD" w14:textId="67615B1D" w:rsidR="00726F7E" w:rsidRPr="00E33B0D" w:rsidRDefault="00726F7E" w:rsidP="00B54106">
      <w:pPr>
        <w:pStyle w:val="Kop1"/>
        <w:spacing w:line="260" w:lineRule="atLeast"/>
        <w:ind w:left="0"/>
        <w:jc w:val="both"/>
        <w:rPr>
          <w:rFonts w:cs="Times New Roman"/>
          <w:b w:val="0"/>
          <w:bCs w:val="0"/>
          <w:sz w:val="22"/>
          <w:szCs w:val="22"/>
          <w:lang w:val="nl-BE"/>
        </w:rPr>
      </w:pPr>
      <w:r w:rsidRPr="00E33B0D">
        <w:rPr>
          <w:rFonts w:cs="Times New Roman"/>
          <w:sz w:val="22"/>
          <w:szCs w:val="22"/>
          <w:lang w:val="nl-BE"/>
        </w:rPr>
        <w:t>Oordeel zonder voorbehoud</w:t>
      </w:r>
    </w:p>
    <w:p w14:paraId="62D1C25A" w14:textId="77777777" w:rsidR="00B54106" w:rsidRPr="00E33B0D" w:rsidRDefault="00B54106" w:rsidP="00B54106">
      <w:pPr>
        <w:pStyle w:val="Plattetekst"/>
        <w:spacing w:before="0" w:line="260" w:lineRule="atLeast"/>
        <w:ind w:left="0"/>
        <w:jc w:val="both"/>
        <w:rPr>
          <w:rFonts w:cs="Times New Roman"/>
          <w:sz w:val="22"/>
          <w:szCs w:val="22"/>
          <w:lang w:val="nl-BE"/>
        </w:rPr>
      </w:pPr>
    </w:p>
    <w:p w14:paraId="4B3D796E" w14:textId="5425993A" w:rsidR="00385B14" w:rsidRPr="00E33B0D" w:rsidRDefault="00D82E09" w:rsidP="00B54106">
      <w:pPr>
        <w:pStyle w:val="Plattetekst"/>
        <w:spacing w:before="0" w:line="260" w:lineRule="atLeast"/>
        <w:ind w:left="0"/>
        <w:jc w:val="both"/>
        <w:rPr>
          <w:rFonts w:cs="Times New Roman"/>
          <w:sz w:val="22"/>
          <w:szCs w:val="22"/>
          <w:lang w:val="nl-BE"/>
        </w:rPr>
      </w:pPr>
      <w:r w:rsidRPr="00E33B0D">
        <w:rPr>
          <w:rFonts w:cs="Times New Roman"/>
          <w:sz w:val="22"/>
          <w:szCs w:val="22"/>
          <w:lang w:val="nl-BE"/>
        </w:rPr>
        <w:t xml:space="preserve">Wij hebben de wettelijke controle uitgevoerd van de geconsolideerde jaarrekening van de politieke partij, </w:t>
      </w:r>
      <w:r w:rsidR="00FB5B81">
        <w:rPr>
          <w:rFonts w:cs="Times New Roman"/>
          <w:sz w:val="22"/>
          <w:szCs w:val="22"/>
          <w:lang w:val="nl-BE"/>
        </w:rPr>
        <w:t xml:space="preserve">opgesteld door de consoliderende entiteit, </w:t>
      </w:r>
      <w:r w:rsidRPr="00E33B0D">
        <w:rPr>
          <w:rFonts w:cs="Times New Roman"/>
          <w:sz w:val="22"/>
          <w:szCs w:val="22"/>
          <w:lang w:val="nl-BE"/>
        </w:rPr>
        <w:t xml:space="preserve">die de geconsolideerde balans op </w:t>
      </w:r>
      <w:r w:rsidRPr="00E33B0D">
        <w:rPr>
          <w:rFonts w:cs="Times New Roman"/>
          <w:sz w:val="22"/>
          <w:szCs w:val="22"/>
          <w:highlight w:val="lightGray"/>
          <w:lang w:val="nl-BE"/>
        </w:rPr>
        <w:t>[Datum financiële positie]</w:t>
      </w:r>
      <w:r w:rsidRPr="00E33B0D">
        <w:rPr>
          <w:rFonts w:cs="Times New Roman"/>
          <w:sz w:val="22"/>
          <w:szCs w:val="22"/>
          <w:lang w:val="nl-BE"/>
        </w:rPr>
        <w:t xml:space="preserve"> omvat, alsook de resultatenrekening van het boekjaar afgesloten op die datum en de toelichting, met een balanstotaal van € </w:t>
      </w:r>
      <w:r w:rsidRPr="00E33B0D">
        <w:rPr>
          <w:rFonts w:cs="Times New Roman"/>
          <w:sz w:val="22"/>
          <w:szCs w:val="22"/>
          <w:highlight w:val="lightGray"/>
          <w:lang w:val="nl-BE"/>
        </w:rPr>
        <w:t>[Balanstotaal]</w:t>
      </w:r>
      <w:r w:rsidRPr="00E33B0D">
        <w:rPr>
          <w:rFonts w:cs="Times New Roman"/>
          <w:sz w:val="22"/>
          <w:szCs w:val="22"/>
          <w:lang w:val="nl-BE"/>
        </w:rPr>
        <w:t xml:space="preserve"> en waarvan de resultatenrekening afsluit met een </w:t>
      </w:r>
      <w:r w:rsidRPr="00E33B0D">
        <w:rPr>
          <w:rFonts w:cs="Times New Roman"/>
          <w:sz w:val="22"/>
          <w:szCs w:val="22"/>
          <w:highlight w:val="lightGray"/>
          <w:lang w:val="nl-BE"/>
        </w:rPr>
        <w:t>[winst/verlies]</w:t>
      </w:r>
      <w:r w:rsidRPr="00E33B0D">
        <w:rPr>
          <w:rFonts w:cs="Times New Roman"/>
          <w:sz w:val="22"/>
          <w:szCs w:val="22"/>
          <w:lang w:val="nl-BE"/>
        </w:rPr>
        <w:t xml:space="preserve"> van het boekjaar van € </w:t>
      </w:r>
      <w:r w:rsidRPr="00E33B0D">
        <w:rPr>
          <w:rFonts w:cs="Times New Roman"/>
          <w:sz w:val="22"/>
          <w:szCs w:val="22"/>
          <w:highlight w:val="lightGray"/>
          <w:lang w:val="nl-BE"/>
        </w:rPr>
        <w:t>[Resultaat]</w:t>
      </w:r>
      <w:r w:rsidRPr="00E33B0D">
        <w:rPr>
          <w:rFonts w:cs="Times New Roman"/>
          <w:sz w:val="22"/>
          <w:szCs w:val="22"/>
          <w:lang w:val="nl-BE"/>
        </w:rPr>
        <w:t>, opgesteld op basis van het in België van toepassing zijnde boekhoudkundig referentiestelsel en van artikel 23 van de wet van 4 juli 1989.</w:t>
      </w:r>
    </w:p>
    <w:p w14:paraId="62C3271C" w14:textId="77777777" w:rsidR="00D82E09" w:rsidRPr="00E33B0D" w:rsidRDefault="00D82E09" w:rsidP="00B54106">
      <w:pPr>
        <w:pStyle w:val="Plattetekst"/>
        <w:spacing w:before="0" w:line="260" w:lineRule="atLeast"/>
        <w:ind w:left="0"/>
        <w:jc w:val="both"/>
        <w:rPr>
          <w:rFonts w:cs="Times New Roman"/>
          <w:sz w:val="22"/>
          <w:szCs w:val="22"/>
          <w:lang w:val="nl-BE"/>
        </w:rPr>
      </w:pPr>
    </w:p>
    <w:p w14:paraId="132151EB" w14:textId="23A0C3CE" w:rsidR="00726F7E" w:rsidRPr="00E33B0D" w:rsidRDefault="00726F7E" w:rsidP="001B3093">
      <w:pPr>
        <w:jc w:val="both"/>
        <w:rPr>
          <w:rFonts w:ascii="Times New Roman" w:eastAsia="Calibri" w:hAnsi="Times New Roman" w:cs="Times New Roman"/>
          <w:lang w:val="nl-BE"/>
        </w:rPr>
      </w:pPr>
      <w:r w:rsidRPr="00E33B0D">
        <w:rPr>
          <w:rFonts w:ascii="Times New Roman" w:eastAsia="Calibri" w:hAnsi="Times New Roman" w:cs="Times New Roman"/>
          <w:lang w:val="nl-BE"/>
        </w:rPr>
        <w:t xml:space="preserve">Naar ons oordeel geeft de geconsolideerde jaarrekening een getrouw beeld van het vermogen en van de financiële toestand van de </w:t>
      </w:r>
      <w:r w:rsidR="00E12ECC" w:rsidRPr="00E33B0D">
        <w:rPr>
          <w:rFonts w:ascii="Times New Roman" w:eastAsia="Calibri" w:hAnsi="Times New Roman" w:cs="Times New Roman"/>
          <w:lang w:val="nl-BE"/>
        </w:rPr>
        <w:t>politieke partij</w:t>
      </w:r>
      <w:r w:rsidRPr="00E33B0D">
        <w:rPr>
          <w:rFonts w:ascii="Times New Roman" w:eastAsia="Calibri" w:hAnsi="Times New Roman" w:cs="Times New Roman"/>
          <w:lang w:val="nl-BE"/>
        </w:rPr>
        <w:t xml:space="preserve"> op </w:t>
      </w:r>
      <w:r w:rsidR="00E12ECC" w:rsidRPr="00E33B0D">
        <w:rPr>
          <w:rFonts w:ascii="Times New Roman" w:eastAsia="Calibri" w:hAnsi="Times New Roman" w:cs="Times New Roman"/>
          <w:highlight w:val="lightGray"/>
          <w:lang w:val="nl-BE"/>
        </w:rPr>
        <w:t xml:space="preserve">[Datum </w:t>
      </w:r>
      <w:r w:rsidR="00D82E09" w:rsidRPr="00E33B0D">
        <w:rPr>
          <w:rFonts w:ascii="Times New Roman" w:eastAsia="Calibri" w:hAnsi="Times New Roman" w:cs="Times New Roman"/>
          <w:highlight w:val="lightGray"/>
          <w:lang w:val="nl-BE"/>
        </w:rPr>
        <w:t>financiële positie</w:t>
      </w:r>
      <w:r w:rsidR="00E12ECC" w:rsidRPr="00E33B0D">
        <w:rPr>
          <w:rFonts w:ascii="Times New Roman" w:eastAsia="Calibri" w:hAnsi="Times New Roman" w:cs="Times New Roman"/>
          <w:highlight w:val="lightGray"/>
          <w:lang w:val="nl-BE"/>
        </w:rPr>
        <w:t>]</w:t>
      </w:r>
      <w:r w:rsidR="00E12ECC" w:rsidRPr="00E33B0D">
        <w:rPr>
          <w:rFonts w:ascii="Times New Roman" w:eastAsia="Calibri" w:hAnsi="Times New Roman" w:cs="Times New Roman"/>
          <w:lang w:val="nl-BE"/>
        </w:rPr>
        <w:t xml:space="preserve"> </w:t>
      </w:r>
      <w:r w:rsidRPr="00E33B0D">
        <w:rPr>
          <w:rFonts w:ascii="Times New Roman" w:eastAsia="Calibri" w:hAnsi="Times New Roman" w:cs="Times New Roman"/>
          <w:lang w:val="nl-BE"/>
        </w:rPr>
        <w:t>alsook van zijn geconsolideerde resultaten over het boekjaar dat op die datum is afgesloten, in overeenstemming met het in België van toepassing zijnde boekhoudkundig referentiestelsel.</w:t>
      </w:r>
    </w:p>
    <w:p w14:paraId="0CFBE479" w14:textId="77777777" w:rsidR="00B54106" w:rsidRPr="00E33B0D" w:rsidRDefault="00B54106" w:rsidP="00B54106">
      <w:pPr>
        <w:pStyle w:val="Plattetekst"/>
        <w:spacing w:before="0"/>
        <w:ind w:left="0"/>
        <w:jc w:val="both"/>
        <w:rPr>
          <w:rFonts w:cs="Times New Roman"/>
          <w:b/>
          <w:sz w:val="22"/>
          <w:szCs w:val="22"/>
          <w:lang w:val="nl-BE"/>
        </w:rPr>
      </w:pPr>
    </w:p>
    <w:p w14:paraId="1274E17B" w14:textId="207BBC6F" w:rsidR="00251B7C" w:rsidRPr="00E33B0D" w:rsidRDefault="0036738B" w:rsidP="00B54106">
      <w:pPr>
        <w:pStyle w:val="Plattetekst"/>
        <w:spacing w:before="0"/>
        <w:ind w:left="0"/>
        <w:jc w:val="both"/>
        <w:rPr>
          <w:rFonts w:cs="Times New Roman"/>
          <w:b/>
          <w:sz w:val="22"/>
          <w:szCs w:val="22"/>
          <w:lang w:val="nl-BE"/>
        </w:rPr>
      </w:pPr>
      <w:r w:rsidRPr="00E33B0D">
        <w:rPr>
          <w:rFonts w:cs="Times New Roman"/>
          <w:b/>
          <w:sz w:val="22"/>
          <w:szCs w:val="22"/>
          <w:lang w:val="nl-BE"/>
        </w:rPr>
        <w:t>Basis voor het oordeel zonder voorbehoud</w:t>
      </w:r>
    </w:p>
    <w:p w14:paraId="43804B27" w14:textId="77777777" w:rsidR="00B54106" w:rsidRPr="00E33B0D" w:rsidRDefault="00B54106" w:rsidP="00B54106">
      <w:pPr>
        <w:pStyle w:val="Plattetekst"/>
        <w:spacing w:before="0" w:line="260" w:lineRule="atLeast"/>
        <w:ind w:left="0"/>
        <w:jc w:val="both"/>
        <w:rPr>
          <w:rFonts w:cs="Times New Roman"/>
          <w:sz w:val="22"/>
          <w:szCs w:val="22"/>
          <w:lang w:val="nl-BE"/>
        </w:rPr>
      </w:pPr>
    </w:p>
    <w:p w14:paraId="116EEF53" w14:textId="383AE79C" w:rsidR="0036738B" w:rsidRPr="00E33B0D" w:rsidRDefault="0036738B" w:rsidP="0036738B">
      <w:pPr>
        <w:jc w:val="both"/>
        <w:rPr>
          <w:rFonts w:ascii="Times New Roman" w:eastAsia="Calibri" w:hAnsi="Times New Roman" w:cs="Times New Roman"/>
          <w:lang w:val="nl-BE"/>
        </w:rPr>
      </w:pPr>
      <w:r w:rsidRPr="00E33B0D">
        <w:rPr>
          <w:rFonts w:ascii="Times New Roman" w:eastAsia="Calibri" w:hAnsi="Times New Roman" w:cs="Times New Roman"/>
          <w:lang w:val="nl-BE"/>
        </w:rPr>
        <w:t xml:space="preserve">Wij hebben onze controle uitgevoerd volgens de internationale controlestandaarden (ISA’s) zoals van toepassing in België. Onze verantwoordelijkheden op grond van deze standaarden zijn verder beschreven in de sectie “Verantwoordelijkheden van de </w:t>
      </w:r>
      <w:r w:rsidR="00605EDB">
        <w:rPr>
          <w:rFonts w:ascii="Times New Roman" w:eastAsia="Calibri" w:hAnsi="Times New Roman" w:cs="Times New Roman"/>
          <w:lang w:val="nl-BE"/>
        </w:rPr>
        <w:t>bedrijfsrevisor</w:t>
      </w:r>
      <w:r w:rsidR="00605EDB" w:rsidRPr="00E33B0D">
        <w:rPr>
          <w:rFonts w:ascii="Times New Roman" w:eastAsia="Calibri" w:hAnsi="Times New Roman" w:cs="Times New Roman"/>
          <w:lang w:val="nl-BE"/>
        </w:rPr>
        <w:t xml:space="preserve"> </w:t>
      </w:r>
      <w:r w:rsidRPr="00E33B0D">
        <w:rPr>
          <w:rFonts w:ascii="Times New Roman" w:eastAsia="Calibri" w:hAnsi="Times New Roman" w:cs="Times New Roman"/>
          <w:lang w:val="nl-BE"/>
        </w:rPr>
        <w:t>voor de controle van de geconsolideerde jaarrekening” van ons verslag. Wij hebben alle deontologische vereisten die relevant zijn voor de controle van de geconsolideerde jaarrekening in België nageleefd, met inbegrip van deze met betrekking tot de onafhankelijkheid.</w:t>
      </w:r>
    </w:p>
    <w:p w14:paraId="450D650A" w14:textId="1E5582CC" w:rsidR="0036738B" w:rsidRPr="00E33B0D" w:rsidRDefault="0036738B" w:rsidP="0036738B">
      <w:pPr>
        <w:jc w:val="both"/>
        <w:rPr>
          <w:rFonts w:ascii="Times New Roman" w:eastAsia="Calibri" w:hAnsi="Times New Roman" w:cs="Times New Roman"/>
          <w:lang w:val="nl-BE"/>
        </w:rPr>
      </w:pPr>
      <w:r w:rsidRPr="00E33B0D">
        <w:rPr>
          <w:rFonts w:ascii="Times New Roman" w:eastAsia="Calibri" w:hAnsi="Times New Roman" w:cs="Times New Roman"/>
          <w:lang w:val="nl-BE"/>
        </w:rPr>
        <w:t>Wij hebben van het bestuursorgaan en van de aangestelden van de politieke partij de voor onze controle vereiste ophelderingen en inlichtingen verkregen.</w:t>
      </w:r>
    </w:p>
    <w:p w14:paraId="5E6831ED" w14:textId="0783AB6A" w:rsidR="0036738B" w:rsidRPr="00E33B0D" w:rsidRDefault="0036738B" w:rsidP="0036738B">
      <w:pPr>
        <w:jc w:val="both"/>
        <w:rPr>
          <w:rFonts w:ascii="Times New Roman" w:eastAsia="Calibri" w:hAnsi="Times New Roman" w:cs="Times New Roman"/>
          <w:lang w:val="nl-BE"/>
        </w:rPr>
      </w:pPr>
      <w:r w:rsidRPr="00E33B0D">
        <w:rPr>
          <w:rFonts w:ascii="Times New Roman" w:eastAsia="Calibri" w:hAnsi="Times New Roman" w:cs="Times New Roman"/>
          <w:lang w:val="nl-BE"/>
        </w:rPr>
        <w:t>Wij zijn van mening dat de door ons verkregen controle-informatie voldoende en geschikt is als basis voor ons oordeel.</w:t>
      </w:r>
    </w:p>
    <w:p w14:paraId="7641BFE7" w14:textId="77777777" w:rsidR="00B82B72" w:rsidRPr="00E33B0D" w:rsidRDefault="00B82B72" w:rsidP="00B54106">
      <w:pPr>
        <w:pStyle w:val="Plattetekst"/>
        <w:spacing w:before="0" w:line="260" w:lineRule="atLeast"/>
        <w:ind w:left="0"/>
        <w:jc w:val="both"/>
        <w:rPr>
          <w:rFonts w:cs="Times New Roman"/>
          <w:sz w:val="22"/>
          <w:szCs w:val="22"/>
          <w:lang w:val="nl-BE"/>
        </w:rPr>
      </w:pPr>
    </w:p>
    <w:p w14:paraId="4C5C42D2" w14:textId="149EB474" w:rsidR="0036738B" w:rsidRPr="00E33B0D" w:rsidRDefault="0036738B" w:rsidP="00B54106">
      <w:pPr>
        <w:spacing w:line="260" w:lineRule="atLeast"/>
        <w:jc w:val="both"/>
        <w:rPr>
          <w:rFonts w:ascii="Times New Roman" w:eastAsia="Times New Roman" w:hAnsi="Times New Roman" w:cs="Times New Roman"/>
          <w:b/>
          <w:lang w:val="nl-BE"/>
        </w:rPr>
      </w:pPr>
      <w:r w:rsidRPr="00E33B0D">
        <w:rPr>
          <w:rFonts w:ascii="Times New Roman" w:hAnsi="Times New Roman" w:cs="Times New Roman"/>
          <w:b/>
          <w:lang w:val="nl-BE"/>
        </w:rPr>
        <w:t>Verantwoordelijkheden van het bestuursorgaan voor het opstellen van de geconsolideerde jaarrekening</w:t>
      </w:r>
    </w:p>
    <w:p w14:paraId="55B738D0" w14:textId="77777777" w:rsidR="001D1088" w:rsidRPr="00E33B0D" w:rsidRDefault="001D1088" w:rsidP="00B54106">
      <w:pPr>
        <w:pStyle w:val="Plattetekst"/>
        <w:spacing w:before="0" w:line="260" w:lineRule="atLeast"/>
        <w:ind w:left="0"/>
        <w:jc w:val="both"/>
        <w:rPr>
          <w:rFonts w:cs="Times New Roman"/>
          <w:sz w:val="22"/>
          <w:szCs w:val="22"/>
          <w:lang w:val="nl-BE"/>
        </w:rPr>
      </w:pPr>
    </w:p>
    <w:p w14:paraId="779AA1B3" w14:textId="3A1B664C" w:rsidR="0036738B" w:rsidRPr="00E33B0D" w:rsidRDefault="0036738B" w:rsidP="0036738B">
      <w:pPr>
        <w:jc w:val="both"/>
        <w:rPr>
          <w:rFonts w:ascii="Times New Roman" w:eastAsia="Calibri" w:hAnsi="Times New Roman" w:cs="Times New Roman"/>
          <w:lang w:val="nl-BE"/>
        </w:rPr>
      </w:pPr>
      <w:r w:rsidRPr="00E33B0D">
        <w:rPr>
          <w:rFonts w:ascii="Times New Roman" w:eastAsia="Calibri" w:hAnsi="Times New Roman" w:cs="Times New Roman"/>
          <w:lang w:val="nl-BE"/>
        </w:rPr>
        <w:t>Het bestuursorgaan is verantwoordelijk voor het opstellen van de</w:t>
      </w:r>
      <w:r w:rsidR="00EF1482" w:rsidRPr="00E33B0D">
        <w:rPr>
          <w:rFonts w:ascii="Times New Roman" w:eastAsia="Calibri" w:hAnsi="Times New Roman" w:cs="Times New Roman"/>
          <w:lang w:val="nl-BE"/>
        </w:rPr>
        <w:t xml:space="preserve"> geconsolideerde</w:t>
      </w:r>
      <w:r w:rsidRPr="00E33B0D">
        <w:rPr>
          <w:rFonts w:ascii="Times New Roman" w:eastAsia="Calibri" w:hAnsi="Times New Roman" w:cs="Times New Roman"/>
          <w:lang w:val="nl-BE"/>
        </w:rPr>
        <w:t xml:space="preserve"> jaarrekening die een getrouw beeld geeft in overeenstemming met het in België van toepassing zijnde boekhoudkundig referentiestelsel, alsook voor de interne beheersing die het bestuursorgaan noodzakelijk acht voor het opstellen van de </w:t>
      </w:r>
      <w:r w:rsidR="00EF1482" w:rsidRPr="00E33B0D">
        <w:rPr>
          <w:rFonts w:ascii="Times New Roman" w:eastAsia="Calibri" w:hAnsi="Times New Roman" w:cs="Times New Roman"/>
          <w:lang w:val="nl-BE"/>
        </w:rPr>
        <w:t xml:space="preserve">geconsolideerde </w:t>
      </w:r>
      <w:r w:rsidRPr="00E33B0D">
        <w:rPr>
          <w:rFonts w:ascii="Times New Roman" w:eastAsia="Calibri" w:hAnsi="Times New Roman" w:cs="Times New Roman"/>
          <w:lang w:val="nl-BE"/>
        </w:rPr>
        <w:t>jaarrekening die geen afwijking van materieel belang bevat die het gevolg is van fraude of van fouten.</w:t>
      </w:r>
    </w:p>
    <w:p w14:paraId="70EAF4B4" w14:textId="5C031A47" w:rsidR="00900FBB" w:rsidRPr="00E33B0D" w:rsidRDefault="00900FBB" w:rsidP="00B54106">
      <w:pPr>
        <w:spacing w:line="260" w:lineRule="atLeast"/>
        <w:jc w:val="both"/>
        <w:rPr>
          <w:rFonts w:ascii="Times New Roman" w:hAnsi="Times New Roman" w:cs="Times New Roman"/>
          <w:i/>
          <w:lang w:val="nl-BE"/>
        </w:rPr>
      </w:pPr>
    </w:p>
    <w:p w14:paraId="797CB386" w14:textId="0FF4CEE9" w:rsidR="00632572" w:rsidRPr="00E33B0D" w:rsidRDefault="00632572" w:rsidP="00B54106">
      <w:pPr>
        <w:spacing w:line="260" w:lineRule="atLeast"/>
        <w:jc w:val="both"/>
        <w:rPr>
          <w:rFonts w:ascii="Times New Roman" w:hAnsi="Times New Roman" w:cs="Times New Roman"/>
          <w:b/>
          <w:bCs/>
          <w:lang w:val="nl-BE"/>
        </w:rPr>
      </w:pPr>
      <w:r w:rsidRPr="00E33B0D">
        <w:rPr>
          <w:rFonts w:ascii="Times New Roman" w:hAnsi="Times New Roman" w:cs="Times New Roman"/>
          <w:b/>
          <w:lang w:val="nl-BE"/>
        </w:rPr>
        <w:t xml:space="preserve">Verantwoordelijkheden van de </w:t>
      </w:r>
      <w:r w:rsidR="00605EDB">
        <w:rPr>
          <w:rFonts w:ascii="Times New Roman" w:hAnsi="Times New Roman" w:cs="Times New Roman"/>
          <w:b/>
          <w:lang w:val="nl-BE"/>
        </w:rPr>
        <w:t>bedrijfsrevisor</w:t>
      </w:r>
      <w:r w:rsidRPr="00E33B0D">
        <w:rPr>
          <w:rFonts w:ascii="Times New Roman" w:hAnsi="Times New Roman" w:cs="Times New Roman"/>
          <w:b/>
          <w:lang w:val="nl-BE"/>
        </w:rPr>
        <w:t xml:space="preserve"> voor de controle van de geconsolideerde jaarrekening</w:t>
      </w:r>
    </w:p>
    <w:p w14:paraId="752FEA22" w14:textId="77777777" w:rsidR="00A64E16" w:rsidRPr="00E33B0D" w:rsidRDefault="00A64E16" w:rsidP="00B54106">
      <w:pPr>
        <w:spacing w:line="260" w:lineRule="atLeast"/>
        <w:jc w:val="both"/>
        <w:rPr>
          <w:rFonts w:ascii="Times New Roman" w:hAnsi="Times New Roman" w:cs="Times New Roman"/>
          <w:b/>
          <w:bCs/>
          <w:lang w:val="nl-BE"/>
        </w:rPr>
      </w:pPr>
    </w:p>
    <w:p w14:paraId="111BDD5E" w14:textId="202B0A34" w:rsidR="00FD1A15" w:rsidRPr="00E33B0D" w:rsidRDefault="00632572" w:rsidP="00632572">
      <w:pPr>
        <w:jc w:val="both"/>
        <w:rPr>
          <w:rFonts w:ascii="Times New Roman" w:eastAsia="Calibri" w:hAnsi="Times New Roman" w:cs="Times New Roman"/>
          <w:lang w:val="nl-BE"/>
        </w:rPr>
      </w:pPr>
      <w:r w:rsidRPr="00E33B0D">
        <w:rPr>
          <w:rFonts w:ascii="Times New Roman" w:eastAsia="Calibri" w:hAnsi="Times New Roman" w:cs="Times New Roman"/>
          <w:lang w:val="nl-BE"/>
        </w:rPr>
        <w:t>Onze doelstellingen zijn het verkrijgen van een redelijke mate van zekerheid over de vraag of de geconsolideerde jaarrekening als geheel geen afwijking van materieel belang bevat die het gevolg is van fraude of van fouten en het uitbrengen van een commissarisverslag waarin ons oordeel is opgenomen. Een redelijke mate van zekerheid is een hoog niveau van zekerheid, maar is geen garantie dat een controle die overeenkomstig de ISA’s is uitgevoerd altijd een afwijking van materieel belang ontdekt wanneer die bestaat. Afwijkingen kunnen zich voordoen als gevolg van fraude of fouten en worden als van materieel belang beschouwd indien redelijkerwijs kan worden verwacht dat zij, individueel of gezamenlijk, de economische beslissingen genomen door gebruikers op basis van deze geconsolideerde jaarrekening, beïnvloeden.</w:t>
      </w:r>
    </w:p>
    <w:p w14:paraId="2B64B683" w14:textId="51BA87BF" w:rsidR="001C6975" w:rsidRPr="00E33B0D" w:rsidRDefault="001C6975" w:rsidP="00B54106">
      <w:pPr>
        <w:pStyle w:val="Plattetekst"/>
        <w:spacing w:before="0" w:line="260" w:lineRule="atLeast"/>
        <w:ind w:left="0"/>
        <w:jc w:val="both"/>
        <w:rPr>
          <w:rFonts w:cs="Times New Roman"/>
          <w:sz w:val="22"/>
          <w:szCs w:val="22"/>
          <w:lang w:val="nl-BE"/>
        </w:rPr>
      </w:pPr>
    </w:p>
    <w:p w14:paraId="551B29EE" w14:textId="29AB7552" w:rsidR="00F802E7" w:rsidRDefault="00F802E7" w:rsidP="00F802E7">
      <w:pPr>
        <w:jc w:val="both"/>
        <w:rPr>
          <w:rFonts w:ascii="Times New Roman" w:eastAsia="Calibri" w:hAnsi="Times New Roman" w:cs="Times New Roman"/>
          <w:lang w:val="nl-BE"/>
        </w:rPr>
      </w:pPr>
      <w:r w:rsidRPr="00E33B0D">
        <w:rPr>
          <w:rFonts w:ascii="Times New Roman" w:eastAsia="Calibri" w:hAnsi="Times New Roman" w:cs="Times New Roman"/>
          <w:lang w:val="nl-BE"/>
        </w:rPr>
        <w:t>Als deel van een controle uitgevoerd overeenkomstig de ISA’s, passen wij professionele oordeelsvorming toe en handhaven wij een professioneel-kritische instelling gedurende de controle. We voeren tevens de volgende werkzaamheden uit:</w:t>
      </w:r>
    </w:p>
    <w:p w14:paraId="71911F70" w14:textId="77777777" w:rsidR="002B6848" w:rsidRPr="00E33B0D" w:rsidRDefault="002B6848" w:rsidP="00F802E7">
      <w:pPr>
        <w:jc w:val="both"/>
        <w:rPr>
          <w:rFonts w:ascii="Times New Roman" w:eastAsia="Calibri" w:hAnsi="Times New Roman" w:cs="Times New Roman"/>
          <w:lang w:val="nl-BE"/>
        </w:rPr>
      </w:pPr>
    </w:p>
    <w:p w14:paraId="4E5B04E8" w14:textId="77777777" w:rsidR="00F802E7" w:rsidRPr="00E33B0D" w:rsidRDefault="00F802E7" w:rsidP="00F802E7">
      <w:pPr>
        <w:widowControl/>
        <w:numPr>
          <w:ilvl w:val="0"/>
          <w:numId w:val="9"/>
        </w:numPr>
        <w:jc w:val="both"/>
        <w:rPr>
          <w:rFonts w:ascii="Times New Roman" w:eastAsia="Calibri" w:hAnsi="Times New Roman" w:cs="Times New Roman"/>
          <w:lang w:val="nl-BE"/>
        </w:rPr>
      </w:pPr>
      <w:r w:rsidRPr="00E33B0D">
        <w:rPr>
          <w:rFonts w:ascii="Times New Roman" w:hAnsi="Times New Roman" w:cs="Times New Roman"/>
          <w:lang w:val="nl-BE"/>
        </w:rPr>
        <w:t xml:space="preserve">het identificeren en inschatten van de risico’s </w:t>
      </w:r>
      <w:r w:rsidRPr="00E33B0D">
        <w:rPr>
          <w:rFonts w:ascii="Times New Roman" w:eastAsia="Calibri" w:hAnsi="Times New Roman" w:cs="Times New Roman"/>
          <w:lang w:val="nl-BE"/>
        </w:rPr>
        <w:t>dat de geconsolideerde jaarrekening een afwijking van materieel belang bevat die het gevolg is van fraude of van fouten, het bepalen en uitvoeren van controlewerkzaamheden die op deze risico’s inspelen en het verkrijgen van controle-informatie die voldoende en geschikt is als basis voor ons oordeel. Het risico van het niet detecteren van een van materieel belang zijnde afwijking is groter indien die afwijking het gevolg is van fraude dan indien zij het gevolg is van fouten, omdat bij fraude sprake kan zijn van samenspanning, valsheid in geschrifte, het opzettelijk nalaten om transacties vast te leggen, het opzettelijk verkeerd voorstellen van zaken of het doorbreken van de interne beheersing;</w:t>
      </w:r>
    </w:p>
    <w:p w14:paraId="0706162E" w14:textId="28BE1158" w:rsidR="00F802E7" w:rsidRPr="00E33B0D" w:rsidRDefault="00F802E7" w:rsidP="00AB0AE3">
      <w:pPr>
        <w:pStyle w:val="Plattetekst"/>
        <w:spacing w:before="0" w:line="260" w:lineRule="atLeast"/>
        <w:ind w:left="360"/>
        <w:jc w:val="both"/>
        <w:rPr>
          <w:rFonts w:cs="Times New Roman"/>
          <w:sz w:val="22"/>
          <w:szCs w:val="22"/>
          <w:lang w:val="nl-BE"/>
        </w:rPr>
      </w:pPr>
    </w:p>
    <w:p w14:paraId="1022BA7D" w14:textId="622E15A3" w:rsidR="00A2245D" w:rsidRPr="00E33B0D" w:rsidRDefault="00A2245D" w:rsidP="00A2245D">
      <w:pPr>
        <w:widowControl/>
        <w:numPr>
          <w:ilvl w:val="0"/>
          <w:numId w:val="9"/>
        </w:numPr>
        <w:jc w:val="both"/>
        <w:rPr>
          <w:rFonts w:ascii="Times New Roman" w:eastAsia="Calibri" w:hAnsi="Times New Roman" w:cs="Times New Roman"/>
          <w:lang w:val="nl-BE"/>
        </w:rPr>
      </w:pPr>
      <w:r w:rsidRPr="00E33B0D">
        <w:rPr>
          <w:rFonts w:ascii="Times New Roman" w:eastAsia="Times New Roman" w:hAnsi="Times New Roman" w:cs="Times New Roman"/>
          <w:lang w:val="nl-BE"/>
        </w:rPr>
        <w:t>het</w:t>
      </w:r>
      <w:r w:rsidRPr="00E33B0D">
        <w:rPr>
          <w:rFonts w:ascii="Times New Roman" w:eastAsia="Calibri" w:hAnsi="Times New Roman" w:cs="Times New Roman"/>
          <w:lang w:val="nl-BE"/>
        </w:rPr>
        <w:t xml:space="preserve"> verkrijgen van inzicht in de interne beheersing </w:t>
      </w:r>
      <w:r w:rsidR="006D3593">
        <w:rPr>
          <w:rFonts w:ascii="Times New Roman" w:eastAsia="Calibri" w:hAnsi="Times New Roman" w:cs="Times New Roman"/>
          <w:lang w:val="nl-BE"/>
        </w:rPr>
        <w:t xml:space="preserve">van </w:t>
      </w:r>
      <w:r w:rsidR="006D3593" w:rsidRPr="003223F0">
        <w:rPr>
          <w:rFonts w:ascii="Times New Roman" w:eastAsia="Calibri" w:hAnsi="Times New Roman" w:cs="Times New Roman"/>
          <w:lang w:val="nl-BE"/>
        </w:rPr>
        <w:t>de consoliderende entiteit</w:t>
      </w:r>
      <w:r w:rsidR="006D3593" w:rsidRPr="00E33B0D">
        <w:rPr>
          <w:rFonts w:ascii="Times New Roman" w:eastAsia="Calibri" w:hAnsi="Times New Roman" w:cs="Times New Roman"/>
          <w:lang w:val="nl-BE"/>
        </w:rPr>
        <w:t xml:space="preserve"> </w:t>
      </w:r>
      <w:r w:rsidRPr="00E33B0D">
        <w:rPr>
          <w:rFonts w:ascii="Times New Roman" w:eastAsia="Calibri" w:hAnsi="Times New Roman" w:cs="Times New Roman"/>
          <w:lang w:val="nl-BE"/>
        </w:rPr>
        <w:t>die relevant is voor de controle, met als doel controlewerkzaamheden op te zetten die in de gegeven omstandigheden geschikt zijn maar die niet zijn gericht op het geven van een oordeel over de effectiviteit van de interne beheersing van de politieke partij;</w:t>
      </w:r>
    </w:p>
    <w:p w14:paraId="5C8CC928" w14:textId="77777777" w:rsidR="001C6975" w:rsidRPr="00E33B0D" w:rsidRDefault="001C6975" w:rsidP="00B54106">
      <w:pPr>
        <w:pStyle w:val="Lijstalinea"/>
        <w:ind w:left="360"/>
        <w:jc w:val="both"/>
        <w:rPr>
          <w:rFonts w:ascii="Times New Roman" w:eastAsia="Times New Roman" w:hAnsi="Times New Roman" w:cs="Times New Roman"/>
          <w:lang w:val="nl-BE"/>
        </w:rPr>
      </w:pPr>
    </w:p>
    <w:p w14:paraId="202A0564" w14:textId="32A2150A" w:rsidR="001C6975" w:rsidRPr="00FD1A15" w:rsidRDefault="009E5DE1" w:rsidP="003223F0">
      <w:pPr>
        <w:widowControl/>
        <w:numPr>
          <w:ilvl w:val="0"/>
          <w:numId w:val="9"/>
        </w:numPr>
        <w:jc w:val="both"/>
        <w:rPr>
          <w:rFonts w:ascii="Times New Roman" w:eastAsia="Times New Roman" w:hAnsi="Times New Roman" w:cs="Times New Roman"/>
          <w:lang w:val="nl-BE"/>
        </w:rPr>
      </w:pPr>
      <w:r w:rsidRPr="00E33B0D">
        <w:rPr>
          <w:rFonts w:ascii="Times New Roman" w:eastAsia="Times New Roman" w:hAnsi="Times New Roman" w:cs="Times New Roman"/>
          <w:lang w:val="nl-BE"/>
        </w:rPr>
        <w:t>het</w:t>
      </w:r>
      <w:r w:rsidRPr="00E33B0D">
        <w:rPr>
          <w:rFonts w:ascii="Times New Roman" w:eastAsia="Calibri" w:hAnsi="Times New Roman" w:cs="Times New Roman"/>
          <w:lang w:val="nl-BE"/>
        </w:rPr>
        <w:t xml:space="preserve"> evalueren van de geschiktheid van de gehanteerde grondslagen voor financiële verslaggeving en het evalueren van de redelijkheid van de door het bestuursorgaan gemaakte schattingen en van de daarop betrekking hebbende toelichtingen;</w:t>
      </w:r>
    </w:p>
    <w:p w14:paraId="0D301F1B" w14:textId="77777777" w:rsidR="00BF4A38" w:rsidRPr="00E33B0D" w:rsidRDefault="00BF4A38" w:rsidP="00B54106">
      <w:pPr>
        <w:pStyle w:val="Lijstalinea"/>
        <w:jc w:val="both"/>
        <w:rPr>
          <w:rFonts w:ascii="Times New Roman" w:eastAsia="Times New Roman" w:hAnsi="Times New Roman" w:cs="Times New Roman"/>
          <w:lang w:val="nl-BE"/>
        </w:rPr>
      </w:pPr>
    </w:p>
    <w:p w14:paraId="094CB0E4" w14:textId="649978D5" w:rsidR="002F13DB" w:rsidRPr="00E33B0D" w:rsidRDefault="002F13DB" w:rsidP="002F13DB">
      <w:pPr>
        <w:widowControl/>
        <w:numPr>
          <w:ilvl w:val="0"/>
          <w:numId w:val="9"/>
        </w:numPr>
        <w:jc w:val="both"/>
        <w:rPr>
          <w:rFonts w:ascii="Times New Roman" w:eastAsia="Calibri" w:hAnsi="Times New Roman" w:cs="Times New Roman"/>
          <w:lang w:val="nl-BE"/>
        </w:rPr>
      </w:pPr>
      <w:r w:rsidRPr="00E33B0D">
        <w:rPr>
          <w:rFonts w:ascii="Times New Roman" w:eastAsia="Times New Roman" w:hAnsi="Times New Roman" w:cs="Times New Roman"/>
          <w:lang w:val="nl-BE"/>
        </w:rPr>
        <w:t>het</w:t>
      </w:r>
      <w:r w:rsidRPr="00E33B0D">
        <w:rPr>
          <w:rFonts w:ascii="Times New Roman" w:eastAsia="Calibri" w:hAnsi="Times New Roman" w:cs="Times New Roman"/>
          <w:lang w:val="nl-BE"/>
        </w:rPr>
        <w:t xml:space="preserve"> evalueren van de algehele presentatie, structuur en inhoud van de geconsolideerde jaarrekening, en van de vraag of de geconsolideerde jaarrekening de onderliggende transacties en gebeurtenissen weergeeft op een wijze die leidt tot een getrouw beeld;</w:t>
      </w:r>
    </w:p>
    <w:p w14:paraId="3DC513D7" w14:textId="77777777" w:rsidR="00BF4A38" w:rsidRPr="00E33B0D" w:rsidRDefault="00BF4A38" w:rsidP="00B54106">
      <w:pPr>
        <w:pStyle w:val="Lijstalinea"/>
        <w:rPr>
          <w:rFonts w:ascii="Times New Roman" w:eastAsia="Times New Roman" w:hAnsi="Times New Roman" w:cs="Times New Roman"/>
          <w:lang w:val="nl-BE"/>
        </w:rPr>
      </w:pPr>
    </w:p>
    <w:p w14:paraId="4B8844BD" w14:textId="5C4370B6" w:rsidR="0075738C" w:rsidRPr="00E33B0D" w:rsidRDefault="002F13DB" w:rsidP="00B54106">
      <w:pPr>
        <w:widowControl/>
        <w:numPr>
          <w:ilvl w:val="0"/>
          <w:numId w:val="9"/>
        </w:numPr>
        <w:jc w:val="both"/>
        <w:rPr>
          <w:rFonts w:ascii="Times New Roman" w:eastAsia="Times New Roman" w:hAnsi="Times New Roman" w:cs="Times New Roman"/>
          <w:lang w:val="nl-BE"/>
        </w:rPr>
      </w:pPr>
      <w:r w:rsidRPr="00E33B0D">
        <w:rPr>
          <w:rFonts w:ascii="Times New Roman" w:eastAsia="Times New Roman" w:hAnsi="Times New Roman" w:cs="Times New Roman"/>
          <w:lang w:val="nl-BE"/>
        </w:rPr>
        <w:t>het</w:t>
      </w:r>
      <w:r w:rsidRPr="00E33B0D">
        <w:rPr>
          <w:rFonts w:ascii="Times New Roman" w:eastAsia="Calibri" w:hAnsi="Times New Roman" w:cs="Times New Roman"/>
          <w:lang w:val="nl-BE"/>
        </w:rPr>
        <w:t xml:space="preserve"> verkrijgen van voldoende en geschikte controle-informatie met betrekking tot de financiële informatie van de entiteiten of bedrijfsactiviteiten binnen de </w:t>
      </w:r>
      <w:r w:rsidR="006756D2" w:rsidRPr="00E33B0D">
        <w:rPr>
          <w:rFonts w:ascii="Times New Roman" w:eastAsia="Calibri" w:hAnsi="Times New Roman" w:cs="Times New Roman"/>
          <w:lang w:val="nl-BE"/>
        </w:rPr>
        <w:t>politieke partij</w:t>
      </w:r>
      <w:r w:rsidRPr="00E33B0D">
        <w:rPr>
          <w:rFonts w:ascii="Times New Roman" w:eastAsia="Calibri" w:hAnsi="Times New Roman" w:cs="Times New Roman"/>
          <w:lang w:val="nl-BE"/>
        </w:rPr>
        <w:t xml:space="preserve"> gericht op het tot uitdrukking brengen van een oordeel over de geconsolideerde jaarrekening. Wij zijn verantwoordelijk voor de aansturing van, het toezicht op en de uitvoering van de controle</w:t>
      </w:r>
      <w:r w:rsidR="006756D2" w:rsidRPr="00E33B0D">
        <w:rPr>
          <w:rFonts w:ascii="Times New Roman" w:eastAsia="Calibri" w:hAnsi="Times New Roman" w:cs="Times New Roman"/>
          <w:lang w:val="nl-BE"/>
        </w:rPr>
        <w:t xml:space="preserve"> van de politiek partij;</w:t>
      </w:r>
      <w:r w:rsidRPr="00E33B0D">
        <w:rPr>
          <w:rFonts w:ascii="Times New Roman" w:eastAsia="Calibri" w:hAnsi="Times New Roman" w:cs="Times New Roman"/>
          <w:lang w:val="nl-BE"/>
        </w:rPr>
        <w:t xml:space="preserve"> </w:t>
      </w:r>
    </w:p>
    <w:p w14:paraId="57AF3871" w14:textId="25AC04E7" w:rsidR="002F13DB" w:rsidRPr="00E33B0D" w:rsidRDefault="002F13DB" w:rsidP="003223F0">
      <w:pPr>
        <w:widowControl/>
        <w:jc w:val="both"/>
        <w:rPr>
          <w:rFonts w:ascii="Times New Roman" w:eastAsia="Calibri" w:hAnsi="Times New Roman" w:cs="Times New Roman"/>
          <w:lang w:val="nl-BE"/>
        </w:rPr>
      </w:pPr>
    </w:p>
    <w:p w14:paraId="078AA4C1" w14:textId="77777777" w:rsidR="00BF4A38" w:rsidRPr="00E33B0D" w:rsidRDefault="00BF4A38" w:rsidP="00B54106">
      <w:pPr>
        <w:rPr>
          <w:rFonts w:ascii="Times New Roman" w:hAnsi="Times New Roman" w:cs="Times New Roman"/>
          <w:lang w:val="nl-BE"/>
        </w:rPr>
      </w:pPr>
    </w:p>
    <w:p w14:paraId="20015D95" w14:textId="3279F90F" w:rsidR="00F50D76" w:rsidRPr="00E33B0D" w:rsidRDefault="00A475A8" w:rsidP="003223F0">
      <w:pPr>
        <w:jc w:val="both"/>
        <w:rPr>
          <w:lang w:val="nl-BE"/>
        </w:rPr>
      </w:pPr>
      <w:r w:rsidRPr="00E33B0D">
        <w:rPr>
          <w:rFonts w:ascii="Times New Roman" w:eastAsia="Calibri" w:hAnsi="Times New Roman" w:cs="Times New Roman"/>
          <w:lang w:val="nl-BE"/>
        </w:rPr>
        <w:t>Wij communiceren met het bestuursorgaan onder meer over de geplande reikwijdte en timing van de controle en over de significante controlebevindingen, waaronder eventuele significante tekortkomingen in de interne beheersing die wij identificeren gedurende onze controle.</w:t>
      </w:r>
    </w:p>
    <w:p w14:paraId="48B8CF95" w14:textId="77777777" w:rsidR="00B54106" w:rsidRPr="00E33B0D" w:rsidRDefault="00B54106">
      <w:pPr>
        <w:rPr>
          <w:rFonts w:ascii="Times New Roman" w:eastAsia="Times New Roman" w:hAnsi="Times New Roman"/>
          <w:b/>
          <w:bCs/>
          <w:lang w:val="nl-BE"/>
        </w:rPr>
      </w:pPr>
      <w:r w:rsidRPr="00E33B0D">
        <w:rPr>
          <w:lang w:val="nl-BE"/>
        </w:rPr>
        <w:br w:type="page"/>
      </w:r>
    </w:p>
    <w:p w14:paraId="32179ABA" w14:textId="7B2A52FE" w:rsidR="00115679" w:rsidRPr="00E33B0D" w:rsidRDefault="00115679" w:rsidP="00B54106">
      <w:pPr>
        <w:pStyle w:val="Kop1"/>
        <w:spacing w:line="260" w:lineRule="atLeast"/>
        <w:ind w:left="0"/>
        <w:jc w:val="both"/>
        <w:rPr>
          <w:sz w:val="22"/>
          <w:szCs w:val="22"/>
          <w:lang w:val="nl-BE"/>
        </w:rPr>
      </w:pPr>
      <w:r w:rsidRPr="00E33B0D">
        <w:rPr>
          <w:sz w:val="22"/>
          <w:szCs w:val="22"/>
          <w:lang w:val="nl-BE"/>
        </w:rPr>
        <w:lastRenderedPageBreak/>
        <w:t>Overige door wet- en regelgeving gestelde eisen</w:t>
      </w:r>
    </w:p>
    <w:p w14:paraId="3401C428" w14:textId="77777777" w:rsidR="00B54106" w:rsidRPr="00E33B0D" w:rsidRDefault="00B54106" w:rsidP="00B54106">
      <w:pPr>
        <w:pStyle w:val="Kop1"/>
        <w:spacing w:line="260" w:lineRule="atLeast"/>
        <w:ind w:left="0"/>
        <w:jc w:val="both"/>
        <w:rPr>
          <w:sz w:val="22"/>
          <w:szCs w:val="22"/>
          <w:lang w:val="nl-BE"/>
        </w:rPr>
      </w:pPr>
    </w:p>
    <w:p w14:paraId="4509B605" w14:textId="0C14D1C9" w:rsidR="00115679" w:rsidRPr="00E33B0D" w:rsidRDefault="00115679" w:rsidP="00B54106">
      <w:pPr>
        <w:pStyle w:val="Kop1"/>
        <w:spacing w:line="260" w:lineRule="atLeast"/>
        <w:ind w:left="0"/>
        <w:jc w:val="both"/>
        <w:rPr>
          <w:rFonts w:cs="Times New Roman"/>
          <w:bCs w:val="0"/>
          <w:sz w:val="22"/>
          <w:szCs w:val="22"/>
          <w:lang w:val="nl-BE"/>
        </w:rPr>
      </w:pPr>
      <w:r w:rsidRPr="00E33B0D">
        <w:rPr>
          <w:sz w:val="22"/>
          <w:szCs w:val="22"/>
          <w:lang w:val="nl-BE"/>
        </w:rPr>
        <w:t>Verantwoordelijkheden van het bestuursorgaan</w:t>
      </w:r>
    </w:p>
    <w:p w14:paraId="3C4FAFF5" w14:textId="77777777" w:rsidR="00B54106" w:rsidRPr="00E33B0D" w:rsidRDefault="00B54106" w:rsidP="00B54106">
      <w:pPr>
        <w:pStyle w:val="Plattetekst"/>
        <w:spacing w:before="0" w:line="260" w:lineRule="atLeast"/>
        <w:ind w:left="0"/>
        <w:jc w:val="both"/>
        <w:rPr>
          <w:sz w:val="22"/>
          <w:szCs w:val="22"/>
          <w:lang w:val="nl-BE"/>
        </w:rPr>
      </w:pPr>
    </w:p>
    <w:p w14:paraId="24118AE7" w14:textId="75FF30F5" w:rsidR="00A57EF1" w:rsidRPr="00E33B0D" w:rsidRDefault="00A57EF1" w:rsidP="00B54106">
      <w:pPr>
        <w:pStyle w:val="Plattetekst"/>
        <w:spacing w:before="0" w:line="260" w:lineRule="atLeast"/>
        <w:ind w:left="0"/>
        <w:jc w:val="both"/>
        <w:rPr>
          <w:sz w:val="22"/>
          <w:szCs w:val="22"/>
          <w:lang w:val="nl-BE"/>
        </w:rPr>
      </w:pPr>
      <w:r w:rsidRPr="00E33B0D">
        <w:rPr>
          <w:rFonts w:eastAsia="Calibri" w:cs="Times New Roman"/>
          <w:sz w:val="22"/>
          <w:szCs w:val="22"/>
          <w:lang w:val="nl-BE"/>
        </w:rPr>
        <w:t xml:space="preserve">Het bestuursorgaan is verantwoordelijk voor </w:t>
      </w:r>
      <w:r w:rsidR="000E2494">
        <w:rPr>
          <w:rFonts w:eastAsia="Calibri" w:cs="Times New Roman"/>
          <w:sz w:val="22"/>
          <w:szCs w:val="22"/>
          <w:lang w:val="nl-BE"/>
        </w:rPr>
        <w:t>de voorbereiding</w:t>
      </w:r>
      <w:r w:rsidRPr="00E33B0D">
        <w:rPr>
          <w:rFonts w:eastAsia="Calibri" w:cs="Times New Roman"/>
          <w:sz w:val="22"/>
          <w:szCs w:val="22"/>
          <w:lang w:val="nl-BE"/>
        </w:rPr>
        <w:t xml:space="preserve"> en de inhoud van</w:t>
      </w:r>
      <w:r w:rsidR="00FA525E" w:rsidRPr="00E33B0D">
        <w:rPr>
          <w:rFonts w:eastAsia="Calibri" w:cs="Times New Roman"/>
          <w:sz w:val="22"/>
          <w:szCs w:val="22"/>
          <w:lang w:val="nl-BE"/>
        </w:rPr>
        <w:t xml:space="preserve"> het financieel </w:t>
      </w:r>
      <w:r w:rsidR="009F14BD" w:rsidRPr="00E33B0D">
        <w:rPr>
          <w:rFonts w:eastAsia="Calibri" w:cs="Times New Roman"/>
          <w:sz w:val="22"/>
          <w:szCs w:val="22"/>
          <w:lang w:val="nl-BE"/>
        </w:rPr>
        <w:t>verslag, het nalevan van de wettelijke en reglementaire bepalingen die van toepassing zijn, op het voeren van de boekhouding alsook voor het naleven van de Wet van 4 juli 1989.</w:t>
      </w:r>
    </w:p>
    <w:p w14:paraId="3E7D24BB" w14:textId="77777777" w:rsidR="00B54106" w:rsidRPr="00E33B0D" w:rsidRDefault="00B54106" w:rsidP="00B54106">
      <w:pPr>
        <w:pStyle w:val="Plattetekst"/>
        <w:spacing w:before="0" w:line="260" w:lineRule="atLeast"/>
        <w:ind w:left="0"/>
        <w:jc w:val="both"/>
        <w:rPr>
          <w:b/>
          <w:sz w:val="22"/>
          <w:szCs w:val="22"/>
          <w:lang w:val="nl-BE"/>
        </w:rPr>
      </w:pPr>
    </w:p>
    <w:p w14:paraId="5D871431" w14:textId="349F2457" w:rsidR="00306411" w:rsidRPr="00E33B0D" w:rsidRDefault="00306411" w:rsidP="00306411">
      <w:pPr>
        <w:pStyle w:val="Plattetekst"/>
        <w:spacing w:before="0" w:line="260" w:lineRule="atLeast"/>
        <w:ind w:left="0"/>
        <w:jc w:val="both"/>
        <w:rPr>
          <w:b/>
          <w:sz w:val="22"/>
          <w:szCs w:val="22"/>
          <w:lang w:val="nl-BE"/>
        </w:rPr>
      </w:pPr>
      <w:r w:rsidRPr="00E33B0D">
        <w:rPr>
          <w:b/>
          <w:sz w:val="22"/>
          <w:szCs w:val="22"/>
          <w:lang w:val="nl-BE"/>
        </w:rPr>
        <w:t xml:space="preserve">Verantwoordelijkheden van de </w:t>
      </w:r>
      <w:r w:rsidR="00605EDB">
        <w:rPr>
          <w:b/>
          <w:sz w:val="22"/>
          <w:szCs w:val="22"/>
          <w:lang w:val="nl-BE"/>
        </w:rPr>
        <w:t>bedrijfsrevisor</w:t>
      </w:r>
    </w:p>
    <w:p w14:paraId="6227065E" w14:textId="77777777" w:rsidR="00B54106" w:rsidRPr="00E33B0D" w:rsidRDefault="00B54106" w:rsidP="00B54106">
      <w:pPr>
        <w:pStyle w:val="Plattetekst"/>
        <w:spacing w:before="0" w:line="260" w:lineRule="atLeast"/>
        <w:ind w:left="0"/>
        <w:jc w:val="both"/>
        <w:rPr>
          <w:sz w:val="22"/>
          <w:szCs w:val="22"/>
          <w:lang w:val="nl-BE"/>
        </w:rPr>
      </w:pPr>
    </w:p>
    <w:p w14:paraId="45276A23" w14:textId="555C613D" w:rsidR="00235E6C" w:rsidRPr="00E33B0D" w:rsidRDefault="00235E6C" w:rsidP="00235E6C">
      <w:pPr>
        <w:jc w:val="both"/>
        <w:rPr>
          <w:rFonts w:ascii="Times New Roman" w:eastAsia="Calibri" w:hAnsi="Times New Roman" w:cs="Times New Roman"/>
          <w:lang w:val="nl-BE"/>
        </w:rPr>
      </w:pPr>
      <w:bookmarkStart w:id="0" w:name="_Hlk507491001"/>
      <w:r w:rsidRPr="00E33B0D">
        <w:rPr>
          <w:rFonts w:ascii="Times New Roman" w:eastAsia="Calibri" w:hAnsi="Times New Roman" w:cs="Times New Roman"/>
          <w:lang w:val="nl-BE"/>
        </w:rPr>
        <w:t>In het kader van on</w:t>
      </w:r>
      <w:r w:rsidR="00080A18">
        <w:rPr>
          <w:rFonts w:ascii="Times New Roman" w:eastAsia="Calibri" w:hAnsi="Times New Roman" w:cs="Times New Roman"/>
          <w:lang w:val="nl-BE"/>
        </w:rPr>
        <w:t>ze</w:t>
      </w:r>
      <w:r w:rsidRPr="00E33B0D">
        <w:rPr>
          <w:rFonts w:ascii="Times New Roman" w:eastAsia="Calibri" w:hAnsi="Times New Roman" w:cs="Times New Roman"/>
          <w:lang w:val="nl-BE"/>
        </w:rPr>
        <w:t xml:space="preserve"> </w:t>
      </w:r>
      <w:r w:rsidR="006B46D9">
        <w:rPr>
          <w:rFonts w:ascii="Times New Roman" w:eastAsia="Calibri" w:hAnsi="Times New Roman" w:cs="Times New Roman"/>
          <w:lang w:val="nl-BE"/>
        </w:rPr>
        <w:t>opdracht</w:t>
      </w:r>
      <w:r w:rsidRPr="00E33B0D">
        <w:rPr>
          <w:rFonts w:ascii="Times New Roman" w:eastAsia="Calibri" w:hAnsi="Times New Roman" w:cs="Times New Roman"/>
          <w:lang w:val="nl-BE"/>
        </w:rPr>
        <w:t xml:space="preserve"> en overeenkomstig de Belgische bijkomende norm </w:t>
      </w:r>
      <w:r w:rsidR="00FD1A15">
        <w:rPr>
          <w:rFonts w:ascii="Times New Roman" w:eastAsia="Calibri" w:hAnsi="Times New Roman" w:cs="Times New Roman"/>
          <w:lang w:val="nl-BE"/>
        </w:rPr>
        <w:t xml:space="preserve">(herziene versie 2020) </w:t>
      </w:r>
      <w:r w:rsidRPr="00E33B0D">
        <w:rPr>
          <w:rFonts w:ascii="Times New Roman" w:eastAsia="Calibri" w:hAnsi="Times New Roman" w:cs="Times New Roman"/>
          <w:lang w:val="nl-BE"/>
        </w:rPr>
        <w:t>bij de in België van toepassing zijnde internationale controlestandaarden (ISA’s), is het onze verantwoordelijkheid om, in alle van materieel belang zijnde opzichten,</w:t>
      </w:r>
      <w:r w:rsidR="006E0CFC" w:rsidRPr="00E33B0D">
        <w:rPr>
          <w:rFonts w:ascii="Times New Roman" w:eastAsia="Calibri" w:hAnsi="Times New Roman" w:cs="Times New Roman"/>
          <w:lang w:val="nl-BE"/>
        </w:rPr>
        <w:t xml:space="preserve"> de naleving van bepaalde wettelijke en bestuursrechtelijke voorschiften na te gaan.</w:t>
      </w:r>
      <w:bookmarkEnd w:id="0"/>
    </w:p>
    <w:p w14:paraId="1BABEED1" w14:textId="77777777" w:rsidR="001D1088" w:rsidRPr="00E33B0D" w:rsidRDefault="001D1088" w:rsidP="00B54106">
      <w:pPr>
        <w:pStyle w:val="Plattetekst"/>
        <w:spacing w:before="0" w:line="260" w:lineRule="atLeast"/>
        <w:ind w:left="0"/>
        <w:jc w:val="both"/>
        <w:rPr>
          <w:sz w:val="22"/>
          <w:szCs w:val="22"/>
          <w:lang w:val="nl-BE"/>
        </w:rPr>
      </w:pPr>
    </w:p>
    <w:p w14:paraId="34E5A631" w14:textId="08F2D192" w:rsidR="00252769" w:rsidRPr="00E33B0D" w:rsidRDefault="00252769" w:rsidP="001D1088">
      <w:pPr>
        <w:rPr>
          <w:rFonts w:ascii="Times New Roman" w:eastAsia="Times New Roman" w:hAnsi="Times New Roman"/>
          <w:b/>
          <w:bCs/>
          <w:lang w:val="nl-BE"/>
        </w:rPr>
      </w:pPr>
      <w:r w:rsidRPr="00E33B0D">
        <w:rPr>
          <w:rFonts w:ascii="Times New Roman" w:eastAsia="Times New Roman" w:hAnsi="Times New Roman"/>
          <w:b/>
          <w:bCs/>
          <w:lang w:val="nl-BE"/>
        </w:rPr>
        <w:t>Vermeldingen betreffende de onafhankelijkheid</w:t>
      </w:r>
    </w:p>
    <w:p w14:paraId="44B7EF5A" w14:textId="77777777" w:rsidR="001D1088" w:rsidRPr="00E33B0D" w:rsidRDefault="001D1088" w:rsidP="001D1088">
      <w:pPr>
        <w:rPr>
          <w:rFonts w:ascii="Times New Roman" w:eastAsia="Times New Roman" w:hAnsi="Times New Roman"/>
          <w:b/>
          <w:bCs/>
          <w:lang w:val="nl-BE"/>
        </w:rPr>
      </w:pPr>
    </w:p>
    <w:p w14:paraId="2F625C0D" w14:textId="72A5CF56" w:rsidR="00E61FD0" w:rsidRPr="00E33B0D" w:rsidRDefault="00E61FD0" w:rsidP="00C86D89">
      <w:pPr>
        <w:widowControl/>
        <w:numPr>
          <w:ilvl w:val="0"/>
          <w:numId w:val="8"/>
        </w:numPr>
        <w:tabs>
          <w:tab w:val="clear" w:pos="720"/>
        </w:tabs>
        <w:overflowPunct w:val="0"/>
        <w:autoSpaceDE w:val="0"/>
        <w:autoSpaceDN w:val="0"/>
        <w:adjustRightInd w:val="0"/>
        <w:spacing w:after="120" w:line="240" w:lineRule="exact"/>
        <w:ind w:left="567" w:hanging="567"/>
        <w:jc w:val="both"/>
        <w:textAlignment w:val="baseline"/>
        <w:rPr>
          <w:rFonts w:ascii="Times New Roman" w:eastAsia="Times New Roman" w:hAnsi="Times New Roman"/>
          <w:bCs/>
          <w:lang w:val="nl-BE"/>
        </w:rPr>
      </w:pPr>
      <w:r w:rsidRPr="00E33B0D">
        <w:rPr>
          <w:rFonts w:ascii="Times New Roman" w:eastAsia="Times New Roman" w:hAnsi="Times New Roman"/>
          <w:bCs/>
          <w:lang w:val="nl-BE"/>
        </w:rPr>
        <w:t xml:space="preserve">Onze bedrijfsrevisorenkantoor </w:t>
      </w:r>
      <w:r w:rsidRPr="00D85A51">
        <w:rPr>
          <w:rFonts w:ascii="Times New Roman" w:eastAsia="Times New Roman" w:hAnsi="Times New Roman"/>
          <w:bCs/>
          <w:highlight w:val="lightGray"/>
          <w:lang w:val="nl-BE"/>
        </w:rPr>
        <w:t>[en onze netwerk]</w:t>
      </w:r>
      <w:r w:rsidRPr="00E33B0D">
        <w:rPr>
          <w:rFonts w:ascii="Times New Roman" w:eastAsia="Times New Roman" w:hAnsi="Times New Roman"/>
          <w:bCs/>
          <w:lang w:val="nl-BE"/>
        </w:rPr>
        <w:t xml:space="preserve"> hebben geen opdrachten verricht die onverenigbaar zijn met de</w:t>
      </w:r>
      <w:r w:rsidR="00080A18">
        <w:rPr>
          <w:rFonts w:ascii="Times New Roman" w:eastAsia="Times New Roman" w:hAnsi="Times New Roman"/>
          <w:bCs/>
          <w:lang w:val="nl-BE"/>
        </w:rPr>
        <w:t>ze controleopdracht</w:t>
      </w:r>
      <w:r w:rsidRPr="00E33B0D">
        <w:rPr>
          <w:rFonts w:ascii="Times New Roman" w:eastAsia="Times New Roman" w:hAnsi="Times New Roman"/>
          <w:bCs/>
          <w:lang w:val="nl-BE"/>
        </w:rPr>
        <w:t xml:space="preserve"> van de </w:t>
      </w:r>
      <w:r w:rsidR="00080A18">
        <w:rPr>
          <w:rFonts w:ascii="Times New Roman" w:eastAsia="Times New Roman" w:hAnsi="Times New Roman"/>
          <w:bCs/>
          <w:lang w:val="nl-BE"/>
        </w:rPr>
        <w:t xml:space="preserve">geconsolideerde </w:t>
      </w:r>
      <w:r w:rsidRPr="00E33B0D">
        <w:rPr>
          <w:rFonts w:ascii="Times New Roman" w:eastAsia="Times New Roman" w:hAnsi="Times New Roman"/>
          <w:bCs/>
          <w:lang w:val="nl-BE"/>
        </w:rPr>
        <w:t>rekening verricht, en is/zijn in de loop van on</w:t>
      </w:r>
      <w:r w:rsidR="0053520D">
        <w:rPr>
          <w:rFonts w:ascii="Times New Roman" w:eastAsia="Times New Roman" w:hAnsi="Times New Roman"/>
          <w:bCs/>
          <w:lang w:val="nl-BE"/>
        </w:rPr>
        <w:t>ze</w:t>
      </w:r>
      <w:r w:rsidRPr="00E33B0D">
        <w:rPr>
          <w:rFonts w:ascii="Times New Roman" w:eastAsia="Times New Roman" w:hAnsi="Times New Roman"/>
          <w:bCs/>
          <w:lang w:val="nl-BE"/>
        </w:rPr>
        <w:t xml:space="preserve"> </w:t>
      </w:r>
      <w:r w:rsidR="00E43B62" w:rsidRPr="00E33B0D">
        <w:rPr>
          <w:rFonts w:ascii="Times New Roman" w:eastAsia="Times New Roman" w:hAnsi="Times New Roman"/>
          <w:bCs/>
          <w:lang w:val="nl-BE"/>
        </w:rPr>
        <w:t>opdracht onafhankelijk gebleven tegenover de politieke partij.</w:t>
      </w:r>
    </w:p>
    <w:p w14:paraId="5CAA96DD" w14:textId="52C2F4EB" w:rsidR="001D1088" w:rsidRPr="00E33B0D" w:rsidRDefault="001D1088" w:rsidP="001D1088">
      <w:pPr>
        <w:rPr>
          <w:rFonts w:ascii="Times New Roman" w:eastAsia="Times New Roman" w:hAnsi="Times New Roman"/>
          <w:b/>
          <w:bCs/>
          <w:lang w:val="nl-BE"/>
        </w:rPr>
      </w:pPr>
    </w:p>
    <w:p w14:paraId="72FE42AF" w14:textId="60820FD4" w:rsidR="00B972CB" w:rsidRPr="00E33B0D" w:rsidRDefault="00B972CB" w:rsidP="001D1088">
      <w:pPr>
        <w:rPr>
          <w:rFonts w:ascii="Times New Roman" w:eastAsia="Times New Roman" w:hAnsi="Times New Roman"/>
          <w:b/>
          <w:bCs/>
          <w:lang w:val="nl-BE"/>
        </w:rPr>
      </w:pPr>
      <w:r w:rsidRPr="00E33B0D">
        <w:rPr>
          <w:rFonts w:ascii="Times New Roman" w:eastAsia="Times New Roman" w:hAnsi="Times New Roman"/>
          <w:b/>
          <w:bCs/>
          <w:lang w:val="nl-BE"/>
        </w:rPr>
        <w:t>Andere vermeldingen</w:t>
      </w:r>
    </w:p>
    <w:p w14:paraId="605B0788" w14:textId="77777777" w:rsidR="001D1088" w:rsidRPr="00E33B0D" w:rsidRDefault="001D1088" w:rsidP="00B54106">
      <w:pPr>
        <w:pStyle w:val="Plattetekst"/>
        <w:spacing w:before="0" w:line="260" w:lineRule="atLeast"/>
        <w:ind w:left="0"/>
        <w:jc w:val="both"/>
        <w:rPr>
          <w:sz w:val="22"/>
          <w:szCs w:val="22"/>
        </w:rPr>
      </w:pPr>
    </w:p>
    <w:p w14:paraId="21306D13" w14:textId="5E0FFC25" w:rsidR="00FF4A85" w:rsidRPr="00947834" w:rsidRDefault="00275703" w:rsidP="00B54106">
      <w:pPr>
        <w:pStyle w:val="Plattetekst"/>
        <w:numPr>
          <w:ilvl w:val="0"/>
          <w:numId w:val="1"/>
        </w:numPr>
        <w:tabs>
          <w:tab w:val="left" w:pos="567"/>
        </w:tabs>
        <w:spacing w:before="0" w:line="260" w:lineRule="atLeast"/>
        <w:ind w:left="567" w:hanging="567"/>
        <w:jc w:val="both"/>
        <w:rPr>
          <w:rFonts w:cs="Times New Roman"/>
          <w:sz w:val="22"/>
          <w:szCs w:val="22"/>
          <w:lang w:val="nl-BE"/>
        </w:rPr>
      </w:pPr>
      <w:r w:rsidRPr="00E33B0D">
        <w:rPr>
          <w:sz w:val="22"/>
          <w:szCs w:val="22"/>
          <w:lang w:val="nl-BE"/>
        </w:rPr>
        <w:t>Het financieel verslag, zoals bepaald in artikel 23 van de Wet van 4 juli 1989 en waarvan de geconsolideerde rekening een onderdeel is, bahandelt de door de wet vereiste inlichtingen, stemt in alle van materiee</w:t>
      </w:r>
      <w:r w:rsidR="005035A0" w:rsidRPr="00E33B0D">
        <w:rPr>
          <w:sz w:val="22"/>
          <w:szCs w:val="22"/>
          <w:lang w:val="nl-BE"/>
        </w:rPr>
        <w:t xml:space="preserve">l belang zijnde opzichten overeen met de geconsolideerde rekening en bevat geen van materieel belang zijnde inconsistenties ten aanzien van de informatie waarover wij beschikken in het kader van onze </w:t>
      </w:r>
      <w:r w:rsidR="005035A0" w:rsidRPr="00D85A51">
        <w:rPr>
          <w:sz w:val="22"/>
          <w:szCs w:val="22"/>
          <w:lang w:val="nl-BE"/>
        </w:rPr>
        <w:t>opdracht</w:t>
      </w:r>
      <w:r w:rsidR="005035A0" w:rsidRPr="00947834">
        <w:rPr>
          <w:sz w:val="22"/>
          <w:szCs w:val="22"/>
          <w:lang w:val="nl-BE"/>
        </w:rPr>
        <w:t xml:space="preserve">. </w:t>
      </w:r>
    </w:p>
    <w:p w14:paraId="0E26336E" w14:textId="77777777" w:rsidR="001D1088" w:rsidRPr="00E33B0D" w:rsidRDefault="001D1088" w:rsidP="001D1088">
      <w:pPr>
        <w:pStyle w:val="Plattetekst"/>
        <w:tabs>
          <w:tab w:val="left" w:pos="567"/>
        </w:tabs>
        <w:spacing w:before="0" w:line="260" w:lineRule="atLeast"/>
        <w:ind w:left="567"/>
        <w:jc w:val="both"/>
        <w:rPr>
          <w:rFonts w:cs="Times New Roman"/>
          <w:sz w:val="22"/>
          <w:szCs w:val="22"/>
          <w:lang w:val="nl-BE"/>
        </w:rPr>
      </w:pPr>
    </w:p>
    <w:p w14:paraId="13CF0F75" w14:textId="5EF1A1F4" w:rsidR="001D1088" w:rsidRPr="00E33B0D" w:rsidRDefault="005035A0" w:rsidP="001D1088">
      <w:pPr>
        <w:pStyle w:val="Plattetekst"/>
        <w:numPr>
          <w:ilvl w:val="0"/>
          <w:numId w:val="1"/>
        </w:numPr>
        <w:tabs>
          <w:tab w:val="left" w:pos="567"/>
        </w:tabs>
        <w:spacing w:before="0" w:line="260" w:lineRule="atLeast"/>
        <w:ind w:left="567" w:hanging="567"/>
        <w:jc w:val="both"/>
        <w:rPr>
          <w:sz w:val="22"/>
          <w:szCs w:val="22"/>
          <w:lang w:val="nl-BE"/>
        </w:rPr>
      </w:pPr>
      <w:r w:rsidRPr="00E33B0D">
        <w:rPr>
          <w:sz w:val="22"/>
          <w:szCs w:val="22"/>
          <w:lang w:val="nl-BE"/>
        </w:rPr>
        <w:t>Onverminderd formele aspecten van ondergeschikt belang, werd de geconsolideerde rekening opgesteld overeenkomstig de reglementaire bepalingen.</w:t>
      </w:r>
    </w:p>
    <w:p w14:paraId="76DEF8DC" w14:textId="77777777" w:rsidR="005035A0" w:rsidRPr="00E33B0D" w:rsidRDefault="005035A0" w:rsidP="005035A0">
      <w:pPr>
        <w:pStyle w:val="Plattetekst"/>
        <w:tabs>
          <w:tab w:val="left" w:pos="567"/>
        </w:tabs>
        <w:spacing w:before="0" w:line="260" w:lineRule="atLeast"/>
        <w:ind w:left="0"/>
        <w:jc w:val="both"/>
        <w:rPr>
          <w:sz w:val="22"/>
          <w:szCs w:val="22"/>
          <w:lang w:val="nl-BE"/>
        </w:rPr>
      </w:pPr>
    </w:p>
    <w:p w14:paraId="184C192A" w14:textId="256439EB" w:rsidR="001D1088" w:rsidRPr="00E33B0D" w:rsidRDefault="005035A0" w:rsidP="001D1088">
      <w:pPr>
        <w:pStyle w:val="Plattetekst"/>
        <w:numPr>
          <w:ilvl w:val="0"/>
          <w:numId w:val="1"/>
        </w:numPr>
        <w:tabs>
          <w:tab w:val="left" w:pos="567"/>
        </w:tabs>
        <w:spacing w:before="0" w:line="260" w:lineRule="atLeast"/>
        <w:ind w:left="567" w:hanging="567"/>
        <w:jc w:val="both"/>
        <w:rPr>
          <w:rFonts w:cs="Times New Roman"/>
          <w:sz w:val="22"/>
          <w:szCs w:val="22"/>
          <w:lang w:val="nl-BE"/>
        </w:rPr>
      </w:pPr>
      <w:r w:rsidRPr="00E33B0D">
        <w:rPr>
          <w:sz w:val="22"/>
          <w:szCs w:val="22"/>
          <w:lang w:val="nl-BE"/>
        </w:rPr>
        <w:t xml:space="preserve">De administratieve en boekhoudkundig organisatie van </w:t>
      </w:r>
      <w:r w:rsidRPr="00E33B0D">
        <w:rPr>
          <w:sz w:val="22"/>
          <w:szCs w:val="22"/>
          <w:highlight w:val="lightGray"/>
          <w:lang w:val="nl-BE"/>
        </w:rPr>
        <w:t>[</w:t>
      </w:r>
      <w:r w:rsidRPr="00E33B0D">
        <w:rPr>
          <w:rFonts w:eastAsia="Calibri" w:cs="Times New Roman"/>
          <w:sz w:val="22"/>
          <w:szCs w:val="22"/>
          <w:highlight w:val="lightGray"/>
          <w:lang w:val="nl-BE"/>
        </w:rPr>
        <w:t>de consoliderende entiteit</w:t>
      </w:r>
      <w:r w:rsidRPr="00E33B0D">
        <w:rPr>
          <w:sz w:val="22"/>
          <w:szCs w:val="22"/>
          <w:highlight w:val="lightGray"/>
          <w:lang w:val="nl-BE"/>
        </w:rPr>
        <w:t>]</w:t>
      </w:r>
      <w:r w:rsidRPr="00E33B0D">
        <w:rPr>
          <w:rFonts w:eastAsia="Calibri" w:cs="Times New Roman"/>
          <w:sz w:val="22"/>
          <w:szCs w:val="22"/>
          <w:lang w:val="nl-BE"/>
        </w:rPr>
        <w:t xml:space="preserve"> is voldoende gebleken om de geconsolideerde rekening op te stellen. </w:t>
      </w:r>
    </w:p>
    <w:p w14:paraId="3C08BF02" w14:textId="5DB20D77" w:rsidR="001D1088" w:rsidRPr="00E33B0D" w:rsidRDefault="001D1088" w:rsidP="001D1088">
      <w:pPr>
        <w:pStyle w:val="Lijstalinea"/>
        <w:rPr>
          <w:lang w:val="nl-BE"/>
        </w:rPr>
      </w:pPr>
    </w:p>
    <w:p w14:paraId="7057E4C1" w14:textId="167BA885" w:rsidR="00BF5F17" w:rsidRPr="00E33B0D" w:rsidRDefault="00BF5F17" w:rsidP="00BF5F17">
      <w:pPr>
        <w:pStyle w:val="Plattetekst"/>
        <w:numPr>
          <w:ilvl w:val="0"/>
          <w:numId w:val="1"/>
        </w:numPr>
        <w:tabs>
          <w:tab w:val="left" w:pos="567"/>
        </w:tabs>
        <w:spacing w:before="0" w:line="260" w:lineRule="atLeast"/>
        <w:ind w:left="567" w:hanging="567"/>
        <w:jc w:val="both"/>
        <w:rPr>
          <w:rFonts w:cs="Times New Roman"/>
          <w:sz w:val="22"/>
          <w:szCs w:val="22"/>
          <w:lang w:val="nl-BE"/>
        </w:rPr>
      </w:pPr>
      <w:r w:rsidRPr="00E33B0D">
        <w:rPr>
          <w:sz w:val="22"/>
          <w:szCs w:val="22"/>
          <w:lang w:val="nl-BE"/>
        </w:rPr>
        <w:t xml:space="preserve">Overeenkomstig de bijlage aan de Wet van 4 juli 1989, brengen wij u eveneens verslag uit over de volgende aspecten die het begrip van de financiële toestand en resultaten, alsook de vergelijkbaarheid van de geconsolideerde rekening kunnen bevorderen. </w:t>
      </w:r>
    </w:p>
    <w:p w14:paraId="183625E1" w14:textId="77777777" w:rsidR="00BF5F17" w:rsidRPr="00E33B0D" w:rsidRDefault="00BF5F17" w:rsidP="00BF5F17">
      <w:pPr>
        <w:pStyle w:val="Plattetekst"/>
        <w:tabs>
          <w:tab w:val="left" w:pos="567"/>
        </w:tabs>
        <w:spacing w:before="0" w:line="260" w:lineRule="atLeast"/>
        <w:ind w:left="567"/>
        <w:jc w:val="both"/>
        <w:rPr>
          <w:rFonts w:cs="Times New Roman"/>
          <w:sz w:val="22"/>
          <w:szCs w:val="22"/>
          <w:highlight w:val="lightGray"/>
          <w:lang w:val="nl-BE"/>
        </w:rPr>
      </w:pPr>
    </w:p>
    <w:p w14:paraId="4F0811B1" w14:textId="68F65817" w:rsidR="003B7076" w:rsidRPr="00E33B0D" w:rsidRDefault="003B7076" w:rsidP="00B54106">
      <w:pPr>
        <w:pStyle w:val="Plattetekst"/>
        <w:numPr>
          <w:ilvl w:val="0"/>
          <w:numId w:val="1"/>
        </w:numPr>
        <w:tabs>
          <w:tab w:val="left" w:pos="567"/>
        </w:tabs>
        <w:spacing w:before="0" w:line="260" w:lineRule="atLeast"/>
        <w:ind w:left="567" w:hanging="567"/>
        <w:jc w:val="both"/>
        <w:rPr>
          <w:rFonts w:cs="Times New Roman"/>
          <w:sz w:val="22"/>
          <w:szCs w:val="22"/>
          <w:highlight w:val="lightGray"/>
        </w:rPr>
      </w:pPr>
      <w:r w:rsidRPr="00E33B0D">
        <w:rPr>
          <w:rFonts w:cs="Times New Roman"/>
          <w:sz w:val="22"/>
          <w:szCs w:val="22"/>
          <w:highlight w:val="lightGray"/>
        </w:rPr>
        <w:t>Punt 1</w:t>
      </w:r>
    </w:p>
    <w:p w14:paraId="4D9E5A00" w14:textId="0640BE14" w:rsidR="003B7076" w:rsidRPr="00E33B0D" w:rsidRDefault="003B7076" w:rsidP="00B54106">
      <w:pPr>
        <w:pStyle w:val="Plattetekst"/>
        <w:numPr>
          <w:ilvl w:val="0"/>
          <w:numId w:val="1"/>
        </w:numPr>
        <w:tabs>
          <w:tab w:val="left" w:pos="567"/>
        </w:tabs>
        <w:spacing w:before="0" w:line="260" w:lineRule="atLeast"/>
        <w:ind w:left="567" w:hanging="567"/>
        <w:jc w:val="both"/>
        <w:rPr>
          <w:rFonts w:cs="Times New Roman"/>
          <w:sz w:val="22"/>
          <w:szCs w:val="22"/>
          <w:highlight w:val="lightGray"/>
        </w:rPr>
      </w:pPr>
      <w:r w:rsidRPr="00E33B0D">
        <w:rPr>
          <w:rFonts w:cs="Times New Roman"/>
          <w:sz w:val="22"/>
          <w:szCs w:val="22"/>
          <w:highlight w:val="lightGray"/>
        </w:rPr>
        <w:t>Punt 2</w:t>
      </w:r>
    </w:p>
    <w:p w14:paraId="0677AC57" w14:textId="77777777" w:rsidR="00913691" w:rsidRPr="00E33B0D" w:rsidRDefault="00913691" w:rsidP="00B54106">
      <w:pPr>
        <w:pStyle w:val="Plattetekst"/>
        <w:tabs>
          <w:tab w:val="left" w:pos="567"/>
        </w:tabs>
        <w:spacing w:before="0" w:line="260" w:lineRule="atLeast"/>
        <w:ind w:left="567"/>
        <w:jc w:val="both"/>
        <w:rPr>
          <w:rFonts w:cs="Times New Roman"/>
          <w:sz w:val="22"/>
          <w:szCs w:val="22"/>
          <w:highlight w:val="lightGray"/>
        </w:rPr>
      </w:pPr>
    </w:p>
    <w:p w14:paraId="208427CA" w14:textId="1B6C8CEC" w:rsidR="00B075B0" w:rsidRPr="00E33B0D" w:rsidRDefault="00B075B0" w:rsidP="00B54106">
      <w:pPr>
        <w:pStyle w:val="Plattetekst"/>
        <w:spacing w:before="0" w:line="260" w:lineRule="atLeast"/>
        <w:ind w:left="0"/>
        <w:jc w:val="both"/>
        <w:rPr>
          <w:rFonts w:cs="Times New Roman"/>
          <w:sz w:val="22"/>
          <w:szCs w:val="22"/>
          <w:lang w:val="nl-BE"/>
        </w:rPr>
      </w:pPr>
      <w:r w:rsidRPr="00E33B0D">
        <w:rPr>
          <w:rFonts w:eastAsia="Calibri" w:cs="Times New Roman"/>
          <w:sz w:val="22"/>
          <w:szCs w:val="22"/>
          <w:highlight w:val="lightGray"/>
          <w:lang w:val="nl-BE"/>
        </w:rPr>
        <w:t>Vestigingsplaats, Datum</w:t>
      </w:r>
    </w:p>
    <w:p w14:paraId="5D1E5236" w14:textId="77777777" w:rsidR="00FF4A85" w:rsidRPr="00E33B0D" w:rsidRDefault="00FF4A85" w:rsidP="00B54106">
      <w:pPr>
        <w:spacing w:line="260" w:lineRule="atLeast"/>
        <w:rPr>
          <w:rFonts w:ascii="Times New Roman" w:eastAsia="Times New Roman" w:hAnsi="Times New Roman" w:cs="Times New Roman"/>
          <w:lang w:val="nl-BE"/>
        </w:rPr>
      </w:pPr>
    </w:p>
    <w:p w14:paraId="77A2F711" w14:textId="00ACF448" w:rsidR="003C3708" w:rsidRPr="00E33B0D" w:rsidRDefault="003C3708" w:rsidP="00B54106">
      <w:pPr>
        <w:pStyle w:val="Plattetekst"/>
        <w:spacing w:before="0" w:line="260" w:lineRule="atLeast"/>
        <w:ind w:left="0"/>
        <w:rPr>
          <w:rFonts w:cs="Times New Roman"/>
          <w:sz w:val="22"/>
          <w:szCs w:val="22"/>
          <w:highlight w:val="lightGray"/>
          <w:lang w:val="nl-BE"/>
        </w:rPr>
      </w:pPr>
      <w:r w:rsidRPr="00E33B0D">
        <w:rPr>
          <w:rFonts w:cs="Times New Roman"/>
          <w:sz w:val="22"/>
          <w:szCs w:val="22"/>
          <w:highlight w:val="lightGray"/>
          <w:lang w:val="nl-BE"/>
        </w:rPr>
        <w:t>Kantoor</w:t>
      </w:r>
    </w:p>
    <w:p w14:paraId="06242203" w14:textId="20CC0DC2" w:rsidR="003C3708" w:rsidRPr="00E33B0D" w:rsidRDefault="003C3708" w:rsidP="00B54106">
      <w:pPr>
        <w:pStyle w:val="Plattetekst"/>
        <w:spacing w:before="0" w:line="260" w:lineRule="atLeast"/>
        <w:ind w:left="0"/>
        <w:rPr>
          <w:rFonts w:cs="Times New Roman"/>
          <w:sz w:val="22"/>
          <w:szCs w:val="22"/>
          <w:highlight w:val="lightGray"/>
          <w:lang w:val="nl-BE"/>
        </w:rPr>
      </w:pPr>
      <w:r w:rsidRPr="00E33B0D">
        <w:rPr>
          <w:rFonts w:cs="Times New Roman"/>
          <w:sz w:val="22"/>
          <w:szCs w:val="22"/>
          <w:highlight w:val="lightGray"/>
          <w:lang w:val="nl-BE"/>
        </w:rPr>
        <w:t>Bedrijfsrevisor/commissaris</w:t>
      </w:r>
    </w:p>
    <w:p w14:paraId="4F389D86" w14:textId="42B8C953" w:rsidR="003C3708" w:rsidRPr="00E33B0D" w:rsidRDefault="003C3708" w:rsidP="00B54106">
      <w:pPr>
        <w:pStyle w:val="Plattetekst"/>
        <w:spacing w:before="0" w:line="260" w:lineRule="atLeast"/>
        <w:ind w:left="0"/>
        <w:rPr>
          <w:rFonts w:cs="Times New Roman"/>
          <w:sz w:val="22"/>
          <w:szCs w:val="22"/>
          <w:lang w:val="nl-BE"/>
        </w:rPr>
      </w:pPr>
      <w:r w:rsidRPr="00E33B0D">
        <w:rPr>
          <w:rFonts w:cs="Times New Roman"/>
          <w:sz w:val="22"/>
          <w:szCs w:val="22"/>
          <w:highlight w:val="lightGray"/>
          <w:lang w:val="nl-BE"/>
        </w:rPr>
        <w:t>Vertegenwoordigd door</w:t>
      </w:r>
    </w:p>
    <w:p w14:paraId="1F154AC9" w14:textId="46104D60" w:rsidR="00FF4A85" w:rsidRPr="00E33B0D" w:rsidRDefault="00FF4A85" w:rsidP="00B54106">
      <w:pPr>
        <w:spacing w:line="260" w:lineRule="atLeast"/>
        <w:rPr>
          <w:rFonts w:ascii="Times New Roman" w:eastAsia="Times New Roman" w:hAnsi="Times New Roman" w:cs="Times New Roman"/>
        </w:rPr>
      </w:pPr>
    </w:p>
    <w:p w14:paraId="7A753CC1" w14:textId="77777777" w:rsidR="003C3708" w:rsidRPr="00E33B0D" w:rsidRDefault="003C3708" w:rsidP="00B54106">
      <w:pPr>
        <w:spacing w:line="260" w:lineRule="atLeast"/>
        <w:rPr>
          <w:rFonts w:ascii="Times New Roman" w:eastAsia="Times New Roman" w:hAnsi="Times New Roman" w:cs="Times New Roman"/>
        </w:rPr>
      </w:pPr>
    </w:p>
    <w:p w14:paraId="2EB3A8ED" w14:textId="77777777" w:rsidR="003C3708" w:rsidRPr="00E33B0D" w:rsidRDefault="003C3708" w:rsidP="001D1088">
      <w:pPr>
        <w:pStyle w:val="Plattetekst"/>
        <w:spacing w:before="0" w:line="260" w:lineRule="atLeast"/>
        <w:ind w:left="0"/>
        <w:rPr>
          <w:sz w:val="22"/>
          <w:szCs w:val="22"/>
          <w:lang w:val="nl-BE"/>
        </w:rPr>
      </w:pPr>
      <w:r w:rsidRPr="00E33B0D">
        <w:rPr>
          <w:sz w:val="22"/>
          <w:szCs w:val="22"/>
          <w:highlight w:val="lightGray"/>
          <w:lang w:val="nl-BE"/>
        </w:rPr>
        <w:t>Naam van de bedrijfsrevisor</w:t>
      </w:r>
    </w:p>
    <w:p w14:paraId="4713144A" w14:textId="5075EC56" w:rsidR="009D3285" w:rsidRPr="00E33B0D" w:rsidRDefault="003C3708" w:rsidP="001D1088">
      <w:pPr>
        <w:pStyle w:val="Plattetekst"/>
        <w:spacing w:before="0" w:line="260" w:lineRule="atLeast"/>
        <w:ind w:left="0"/>
        <w:rPr>
          <w:rFonts w:cs="Times New Roman"/>
          <w:i/>
          <w:w w:val="105"/>
          <w:sz w:val="22"/>
          <w:szCs w:val="22"/>
          <w:lang w:val="nl-BE"/>
        </w:rPr>
      </w:pPr>
      <w:r w:rsidRPr="00E33B0D">
        <w:rPr>
          <w:i/>
          <w:sz w:val="22"/>
          <w:szCs w:val="22"/>
          <w:lang w:val="nl-BE"/>
        </w:rPr>
        <w:t>Bedrijfsrevisor</w:t>
      </w:r>
      <w:r w:rsidR="009D3285" w:rsidRPr="00E33B0D">
        <w:rPr>
          <w:i/>
          <w:sz w:val="22"/>
          <w:szCs w:val="22"/>
          <w:lang w:val="nl-BE"/>
        </w:rPr>
        <w:br w:type="page"/>
      </w:r>
    </w:p>
    <w:p w14:paraId="5B479B46" w14:textId="2648F27B" w:rsidR="009D3285" w:rsidRPr="00E33B0D" w:rsidRDefault="00E45ACD" w:rsidP="00B54106">
      <w:pPr>
        <w:pStyle w:val="Handtekening"/>
        <w:spacing w:line="260" w:lineRule="atLeast"/>
        <w:rPr>
          <w:caps/>
          <w:u w:val="single"/>
          <w:lang w:val="nl-BE"/>
        </w:rPr>
      </w:pPr>
      <w:r w:rsidRPr="00E33B0D">
        <w:rPr>
          <w:caps/>
          <w:u w:val="single"/>
          <w:lang w:val="nl-BE"/>
        </w:rPr>
        <w:lastRenderedPageBreak/>
        <w:t xml:space="preserve">Bijlage aan het verslag van </w:t>
      </w:r>
      <w:r w:rsidRPr="00947834">
        <w:rPr>
          <w:caps/>
          <w:u w:val="single"/>
          <w:lang w:val="nl-BE"/>
        </w:rPr>
        <w:t xml:space="preserve">de </w:t>
      </w:r>
      <w:r w:rsidRPr="00D85A51">
        <w:rPr>
          <w:caps/>
          <w:u w:val="single"/>
          <w:lang w:val="nl-BE"/>
        </w:rPr>
        <w:t>bedrijfsrevisor</w:t>
      </w:r>
    </w:p>
    <w:p w14:paraId="22B8CBAB" w14:textId="77777777" w:rsidR="009D3285" w:rsidRPr="00E33B0D" w:rsidRDefault="009D3285" w:rsidP="00B54106">
      <w:pPr>
        <w:pStyle w:val="Handtekening"/>
        <w:spacing w:line="260" w:lineRule="atLeast"/>
        <w:rPr>
          <w:b/>
          <w:bCs/>
          <w:sz w:val="24"/>
          <w:lang w:val="nl-BE"/>
        </w:rPr>
      </w:pPr>
    </w:p>
    <w:p w14:paraId="651CADC2" w14:textId="1193427A" w:rsidR="009D3285" w:rsidRPr="00E33B0D" w:rsidRDefault="00E45ACD" w:rsidP="00B54106">
      <w:pPr>
        <w:pStyle w:val="Handtekening"/>
        <w:spacing w:line="260" w:lineRule="atLeast"/>
        <w:jc w:val="center"/>
        <w:rPr>
          <w:lang w:val="nl-BE"/>
        </w:rPr>
      </w:pPr>
      <w:r w:rsidRPr="00E33B0D">
        <w:rPr>
          <w:b/>
          <w:bCs/>
          <w:sz w:val="24"/>
          <w:lang w:val="nl-BE"/>
        </w:rPr>
        <w:t>Analyse van de gegevens van de geconsolideerde rekening waarbij de aandacht wordt gevestigd op de aspecten die het begrip van de financiële toestand en resultaten, alsook de vergelijkbaarheid kunnen bevorderen</w:t>
      </w:r>
    </w:p>
    <w:p w14:paraId="6340A09F" w14:textId="77777777" w:rsidR="009D3285" w:rsidRPr="00E33B0D" w:rsidRDefault="009D3285" w:rsidP="00B54106">
      <w:pPr>
        <w:pStyle w:val="Handtekening"/>
        <w:spacing w:line="260" w:lineRule="atLeast"/>
        <w:rPr>
          <w:lang w:val="nl-BE"/>
        </w:rPr>
      </w:pPr>
    </w:p>
    <w:p w14:paraId="6E8F0CC5" w14:textId="77777777" w:rsidR="009D3285" w:rsidRPr="00E33B0D" w:rsidRDefault="009D3285" w:rsidP="00B54106">
      <w:pPr>
        <w:pStyle w:val="Handtekening"/>
        <w:spacing w:line="260" w:lineRule="atLeast"/>
        <w:rPr>
          <w:lang w:val="nl-BE"/>
        </w:rPr>
      </w:pPr>
    </w:p>
    <w:p w14:paraId="1842E9CF" w14:textId="465F1D24" w:rsidR="009D3285" w:rsidRPr="00E33B0D" w:rsidRDefault="00E45ACD" w:rsidP="00B54106">
      <w:pPr>
        <w:pStyle w:val="Handtekening"/>
        <w:spacing w:line="260" w:lineRule="atLeast"/>
        <w:jc w:val="both"/>
        <w:rPr>
          <w:lang w:val="nl-BE"/>
        </w:rPr>
      </w:pPr>
      <w:r w:rsidRPr="00E33B0D">
        <w:rPr>
          <w:lang w:val="nl-BE"/>
        </w:rPr>
        <w:t xml:space="preserve">Overeenkomstig de bijlage aan de Wet van 4 juli 2989, brengen wij u verslag uit over de aspecten die het begrip van de financiële toestand en resultaten, alsook de vergelijkbaarheid kunnen bevorderen. </w:t>
      </w:r>
    </w:p>
    <w:p w14:paraId="5A10671D" w14:textId="77777777" w:rsidR="009D3285" w:rsidRPr="00E33B0D" w:rsidRDefault="009D3285" w:rsidP="00B54106">
      <w:pPr>
        <w:pStyle w:val="Handtekening"/>
        <w:spacing w:line="260" w:lineRule="atLeast"/>
        <w:jc w:val="both"/>
        <w:rPr>
          <w:lang w:val="nl-BE"/>
        </w:rPr>
      </w:pPr>
    </w:p>
    <w:p w14:paraId="2F02E162" w14:textId="459C997E" w:rsidR="00F96D57" w:rsidRPr="00E33B0D" w:rsidRDefault="00F96D57" w:rsidP="00B54106">
      <w:pPr>
        <w:pStyle w:val="Handtekening"/>
        <w:spacing w:line="260" w:lineRule="atLeast"/>
        <w:jc w:val="both"/>
        <w:rPr>
          <w:highlight w:val="lightGray"/>
          <w:lang w:val="nl-BE"/>
        </w:rPr>
      </w:pPr>
      <w:r w:rsidRPr="00E33B0D">
        <w:rPr>
          <w:highlight w:val="lightGray"/>
          <w:lang w:val="nl-BE"/>
        </w:rPr>
        <w:t xml:space="preserve">Mogelijke elementen: </w:t>
      </w:r>
    </w:p>
    <w:p w14:paraId="2D91F0EE" w14:textId="77777777" w:rsidR="009D3285" w:rsidRPr="00E33B0D" w:rsidRDefault="009D3285" w:rsidP="00B54106">
      <w:pPr>
        <w:pStyle w:val="Handtekening"/>
        <w:spacing w:line="260" w:lineRule="atLeast"/>
        <w:jc w:val="both"/>
        <w:rPr>
          <w:highlight w:val="lightGray"/>
        </w:rPr>
      </w:pPr>
    </w:p>
    <w:p w14:paraId="16427520" w14:textId="06FCE0D9" w:rsidR="00F96D57" w:rsidRPr="00E33B0D" w:rsidRDefault="00F96D57" w:rsidP="00B54106">
      <w:pPr>
        <w:pStyle w:val="Handtekening"/>
        <w:numPr>
          <w:ilvl w:val="0"/>
          <w:numId w:val="4"/>
        </w:numPr>
        <w:spacing w:line="260" w:lineRule="atLeast"/>
        <w:jc w:val="both"/>
        <w:rPr>
          <w:highlight w:val="lightGray"/>
          <w:lang w:val="nl-BE"/>
        </w:rPr>
      </w:pPr>
      <w:r w:rsidRPr="00E33B0D">
        <w:rPr>
          <w:highlight w:val="lightGray"/>
          <w:lang w:val="nl-BE"/>
        </w:rPr>
        <w:t>Consolidatiekring</w:t>
      </w:r>
    </w:p>
    <w:p w14:paraId="2E4AA1AD" w14:textId="470736A8" w:rsidR="00F96D57" w:rsidRPr="00E33B0D" w:rsidRDefault="003657A2" w:rsidP="00B54106">
      <w:pPr>
        <w:pStyle w:val="Handtekening"/>
        <w:numPr>
          <w:ilvl w:val="0"/>
          <w:numId w:val="4"/>
        </w:numPr>
        <w:spacing w:line="260" w:lineRule="atLeast"/>
        <w:jc w:val="both"/>
        <w:rPr>
          <w:highlight w:val="lightGray"/>
          <w:lang w:val="nl-BE"/>
        </w:rPr>
      </w:pPr>
      <w:r w:rsidRPr="00E33B0D">
        <w:rPr>
          <w:highlight w:val="lightGray"/>
          <w:lang w:val="nl-BE"/>
        </w:rPr>
        <w:t>Overeenstemming</w:t>
      </w:r>
      <w:r w:rsidR="00F96D57" w:rsidRPr="00E33B0D">
        <w:rPr>
          <w:highlight w:val="lightGray"/>
          <w:lang w:val="nl-BE"/>
        </w:rPr>
        <w:t xml:space="preserve"> van</w:t>
      </w:r>
      <w:r w:rsidRPr="00E33B0D">
        <w:rPr>
          <w:highlight w:val="lightGray"/>
          <w:lang w:val="nl-BE"/>
        </w:rPr>
        <w:t xml:space="preserve"> het </w:t>
      </w:r>
      <w:r w:rsidR="00F96D57" w:rsidRPr="00E33B0D">
        <w:rPr>
          <w:highlight w:val="lightGray"/>
          <w:lang w:val="nl-BE"/>
        </w:rPr>
        <w:t xml:space="preserve"> eigen vermogen</w:t>
      </w:r>
    </w:p>
    <w:p w14:paraId="762CB60F" w14:textId="07573480" w:rsidR="00F96D57" w:rsidRPr="00E33B0D" w:rsidRDefault="00F96D57" w:rsidP="00B54106">
      <w:pPr>
        <w:pStyle w:val="Handtekening"/>
        <w:numPr>
          <w:ilvl w:val="0"/>
          <w:numId w:val="4"/>
        </w:numPr>
        <w:spacing w:line="260" w:lineRule="atLeast"/>
        <w:jc w:val="both"/>
        <w:rPr>
          <w:highlight w:val="lightGray"/>
          <w:lang w:val="nl-BE"/>
        </w:rPr>
      </w:pPr>
      <w:r w:rsidRPr="00E33B0D">
        <w:rPr>
          <w:highlight w:val="lightGray"/>
          <w:lang w:val="nl-BE"/>
        </w:rPr>
        <w:t>Verkiezingsuitgaven</w:t>
      </w:r>
    </w:p>
    <w:p w14:paraId="3785D20A" w14:textId="6A1F9626" w:rsidR="00F96D57" w:rsidRPr="00E33B0D" w:rsidRDefault="00F96D57" w:rsidP="00B54106">
      <w:pPr>
        <w:pStyle w:val="Handtekening"/>
        <w:numPr>
          <w:ilvl w:val="0"/>
          <w:numId w:val="4"/>
        </w:numPr>
        <w:spacing w:line="260" w:lineRule="atLeast"/>
        <w:jc w:val="both"/>
        <w:rPr>
          <w:highlight w:val="lightGray"/>
          <w:lang w:val="nl-BE"/>
        </w:rPr>
      </w:pPr>
      <w:r w:rsidRPr="00E33B0D">
        <w:rPr>
          <w:highlight w:val="lightGray"/>
          <w:lang w:val="nl-BE"/>
        </w:rPr>
        <w:t>Andere elementen</w:t>
      </w:r>
    </w:p>
    <w:p w14:paraId="40D20886" w14:textId="77777777" w:rsidR="00FF4A85" w:rsidRPr="00C706BB" w:rsidRDefault="00FF4A85" w:rsidP="00B54106">
      <w:pPr>
        <w:pStyle w:val="Plattetekst"/>
        <w:spacing w:before="0" w:line="260" w:lineRule="atLeast"/>
        <w:ind w:left="0"/>
        <w:rPr>
          <w:rFonts w:cs="Times New Roman"/>
          <w:sz w:val="22"/>
          <w:szCs w:val="22"/>
          <w:lang w:val="nl-BE"/>
        </w:rPr>
      </w:pPr>
    </w:p>
    <w:sectPr w:rsidR="00FF4A85" w:rsidRPr="00C706BB" w:rsidSect="00D07CA6">
      <w:footerReference w:type="default" r:id="rId11"/>
      <w:pgSz w:w="16838" w:h="23811" w:code="8"/>
      <w:pgMar w:top="1600" w:right="2129" w:bottom="280" w:left="1701"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C3FB3" w14:textId="77777777" w:rsidR="005A2150" w:rsidRDefault="005A2150" w:rsidP="007A58B0">
      <w:r>
        <w:separator/>
      </w:r>
    </w:p>
  </w:endnote>
  <w:endnote w:type="continuationSeparator" w:id="0">
    <w:p w14:paraId="3A83FCE8" w14:textId="77777777" w:rsidR="005A2150" w:rsidRDefault="005A2150" w:rsidP="007A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4686556"/>
      <w:docPartObj>
        <w:docPartGallery w:val="Page Numbers (Bottom of Page)"/>
        <w:docPartUnique/>
      </w:docPartObj>
    </w:sdtPr>
    <w:sdtEndPr>
      <w:rPr>
        <w:noProof/>
      </w:rPr>
    </w:sdtEndPr>
    <w:sdtContent>
      <w:p w14:paraId="43FDA6E3" w14:textId="45E00D77" w:rsidR="00A50146" w:rsidRDefault="00A50146">
        <w:pPr>
          <w:pStyle w:val="Voettekst"/>
          <w:jc w:val="right"/>
        </w:pPr>
        <w:r>
          <w:fldChar w:fldCharType="begin"/>
        </w:r>
        <w:r>
          <w:instrText xml:space="preserve"> PAGE   \* MERGEFORMAT </w:instrText>
        </w:r>
        <w:r>
          <w:fldChar w:fldCharType="separate"/>
        </w:r>
        <w:r w:rsidR="00D85A51">
          <w:rPr>
            <w:noProof/>
          </w:rPr>
          <w:t>1</w:t>
        </w:r>
        <w:r>
          <w:rPr>
            <w:noProof/>
          </w:rPr>
          <w:fldChar w:fldCharType="end"/>
        </w:r>
      </w:p>
    </w:sdtContent>
  </w:sdt>
  <w:p w14:paraId="09CD7B2D" w14:textId="77777777" w:rsidR="00A50146" w:rsidRDefault="00A501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4730F" w14:textId="77777777" w:rsidR="005A2150" w:rsidRDefault="005A2150" w:rsidP="007A58B0">
      <w:r>
        <w:separator/>
      </w:r>
    </w:p>
  </w:footnote>
  <w:footnote w:type="continuationSeparator" w:id="0">
    <w:p w14:paraId="6667BCA8" w14:textId="77777777" w:rsidR="005A2150" w:rsidRDefault="005A2150" w:rsidP="007A5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BD14565_"/>
      </v:shape>
    </w:pict>
  </w:numPicBullet>
  <w:abstractNum w:abstractNumId="0" w15:restartNumberingAfterBreak="0">
    <w:nsid w:val="02A227D5"/>
    <w:multiLevelType w:val="hybridMultilevel"/>
    <w:tmpl w:val="80C47ED0"/>
    <w:lvl w:ilvl="0" w:tplc="CE4A8DCA">
      <w:start w:val="1"/>
      <w:numFmt w:val="bullet"/>
      <w:lvlText w:val=""/>
      <w:lvlPicBulletId w:val="0"/>
      <w:lvlJc w:val="left"/>
      <w:pPr>
        <w:ind w:left="720" w:hanging="360"/>
      </w:pPr>
      <w:rPr>
        <w:rFonts w:ascii="Symbol" w:hAnsi="Symbol" w:hint="default"/>
        <w:color w:val="auto"/>
        <w:sz w:val="20"/>
        <w:szCs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30E2911"/>
    <w:multiLevelType w:val="hybridMultilevel"/>
    <w:tmpl w:val="B1220B68"/>
    <w:lvl w:ilvl="0" w:tplc="2000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D8065FD"/>
    <w:multiLevelType w:val="hybridMultilevel"/>
    <w:tmpl w:val="C33C70DC"/>
    <w:lvl w:ilvl="0" w:tplc="39841040">
      <w:start w:val="1"/>
      <w:numFmt w:val="decimal"/>
      <w:lvlText w:val="%1."/>
      <w:lvlJc w:val="left"/>
      <w:pPr>
        <w:ind w:left="1287" w:hanging="272"/>
      </w:pPr>
      <w:rPr>
        <w:rFonts w:ascii="Times New Roman" w:eastAsia="Times New Roman" w:hAnsi="Times New Roman" w:hint="default"/>
        <w:w w:val="103"/>
        <w:sz w:val="22"/>
        <w:szCs w:val="22"/>
      </w:rPr>
    </w:lvl>
    <w:lvl w:ilvl="1" w:tplc="0644B488">
      <w:start w:val="1"/>
      <w:numFmt w:val="bullet"/>
      <w:lvlText w:val="•"/>
      <w:lvlJc w:val="left"/>
      <w:pPr>
        <w:ind w:left="2277" w:hanging="272"/>
      </w:pPr>
      <w:rPr>
        <w:rFonts w:hint="default"/>
      </w:rPr>
    </w:lvl>
    <w:lvl w:ilvl="2" w:tplc="652CE62C">
      <w:start w:val="1"/>
      <w:numFmt w:val="bullet"/>
      <w:lvlText w:val="•"/>
      <w:lvlJc w:val="left"/>
      <w:pPr>
        <w:ind w:left="3266" w:hanging="272"/>
      </w:pPr>
      <w:rPr>
        <w:rFonts w:hint="default"/>
      </w:rPr>
    </w:lvl>
    <w:lvl w:ilvl="3" w:tplc="E5F0E4CE">
      <w:start w:val="1"/>
      <w:numFmt w:val="bullet"/>
      <w:lvlText w:val="•"/>
      <w:lvlJc w:val="left"/>
      <w:pPr>
        <w:ind w:left="4256" w:hanging="272"/>
      </w:pPr>
      <w:rPr>
        <w:rFonts w:hint="default"/>
      </w:rPr>
    </w:lvl>
    <w:lvl w:ilvl="4" w:tplc="7110EB28">
      <w:start w:val="1"/>
      <w:numFmt w:val="bullet"/>
      <w:lvlText w:val="•"/>
      <w:lvlJc w:val="left"/>
      <w:pPr>
        <w:ind w:left="5246" w:hanging="272"/>
      </w:pPr>
      <w:rPr>
        <w:rFonts w:hint="default"/>
      </w:rPr>
    </w:lvl>
    <w:lvl w:ilvl="5" w:tplc="FD8A1B30">
      <w:start w:val="1"/>
      <w:numFmt w:val="bullet"/>
      <w:lvlText w:val="•"/>
      <w:lvlJc w:val="left"/>
      <w:pPr>
        <w:ind w:left="6236" w:hanging="272"/>
      </w:pPr>
      <w:rPr>
        <w:rFonts w:hint="default"/>
      </w:rPr>
    </w:lvl>
    <w:lvl w:ilvl="6" w:tplc="54A24A34">
      <w:start w:val="1"/>
      <w:numFmt w:val="bullet"/>
      <w:lvlText w:val="•"/>
      <w:lvlJc w:val="left"/>
      <w:pPr>
        <w:ind w:left="7225" w:hanging="272"/>
      </w:pPr>
      <w:rPr>
        <w:rFonts w:hint="default"/>
      </w:rPr>
    </w:lvl>
    <w:lvl w:ilvl="7" w:tplc="2A6CB698">
      <w:start w:val="1"/>
      <w:numFmt w:val="bullet"/>
      <w:lvlText w:val="•"/>
      <w:lvlJc w:val="left"/>
      <w:pPr>
        <w:ind w:left="8215" w:hanging="272"/>
      </w:pPr>
      <w:rPr>
        <w:rFonts w:hint="default"/>
      </w:rPr>
    </w:lvl>
    <w:lvl w:ilvl="8" w:tplc="546E4FB4">
      <w:start w:val="1"/>
      <w:numFmt w:val="bullet"/>
      <w:lvlText w:val="•"/>
      <w:lvlJc w:val="left"/>
      <w:pPr>
        <w:ind w:left="9205" w:hanging="272"/>
      </w:pPr>
      <w:rPr>
        <w:rFonts w:hint="default"/>
      </w:rPr>
    </w:lvl>
  </w:abstractNum>
  <w:abstractNum w:abstractNumId="3" w15:restartNumberingAfterBreak="0">
    <w:nsid w:val="309D2DA4"/>
    <w:multiLevelType w:val="singleLevel"/>
    <w:tmpl w:val="877E508C"/>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381D7D3B"/>
    <w:multiLevelType w:val="hybridMultilevel"/>
    <w:tmpl w:val="60CA7B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9A1062A"/>
    <w:multiLevelType w:val="hybridMultilevel"/>
    <w:tmpl w:val="4CE2E4E6"/>
    <w:lvl w:ilvl="0" w:tplc="04090001">
      <w:start w:val="1"/>
      <w:numFmt w:val="bullet"/>
      <w:lvlText w:val=""/>
      <w:lvlJc w:val="left"/>
      <w:pPr>
        <w:tabs>
          <w:tab w:val="num" w:pos="720"/>
        </w:tabs>
        <w:ind w:left="720" w:hanging="360"/>
      </w:pPr>
      <w:rPr>
        <w:rFonts w:ascii="Symbol" w:hAnsi="Symbol" w:hint="default"/>
        <w:color w:val="auto"/>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15466E"/>
    <w:multiLevelType w:val="hybridMultilevel"/>
    <w:tmpl w:val="AEEE7FB0"/>
    <w:lvl w:ilvl="0" w:tplc="150CEA6C">
      <w:start w:val="1"/>
      <w:numFmt w:val="bullet"/>
      <w:lvlText w:val=""/>
      <w:lvlJc w:val="left"/>
      <w:pPr>
        <w:ind w:left="1250" w:hanging="257"/>
      </w:pPr>
      <w:rPr>
        <w:rFonts w:ascii="Symbol" w:eastAsia="Symbol" w:hAnsi="Symbol" w:hint="default"/>
        <w:w w:val="103"/>
        <w:sz w:val="22"/>
        <w:szCs w:val="22"/>
      </w:rPr>
    </w:lvl>
    <w:lvl w:ilvl="1" w:tplc="1B760698">
      <w:start w:val="1"/>
      <w:numFmt w:val="bullet"/>
      <w:lvlText w:val="•"/>
      <w:lvlJc w:val="left"/>
      <w:pPr>
        <w:ind w:left="1390" w:hanging="257"/>
      </w:pPr>
      <w:rPr>
        <w:rFonts w:hint="default"/>
      </w:rPr>
    </w:lvl>
    <w:lvl w:ilvl="2" w:tplc="33C462FC">
      <w:start w:val="1"/>
      <w:numFmt w:val="bullet"/>
      <w:lvlText w:val="•"/>
      <w:lvlJc w:val="left"/>
      <w:pPr>
        <w:ind w:left="2418" w:hanging="257"/>
      </w:pPr>
      <w:rPr>
        <w:rFonts w:hint="default"/>
      </w:rPr>
    </w:lvl>
    <w:lvl w:ilvl="3" w:tplc="DE340C54">
      <w:start w:val="1"/>
      <w:numFmt w:val="bullet"/>
      <w:lvlText w:val="•"/>
      <w:lvlJc w:val="left"/>
      <w:pPr>
        <w:ind w:left="3447" w:hanging="257"/>
      </w:pPr>
      <w:rPr>
        <w:rFonts w:hint="default"/>
      </w:rPr>
    </w:lvl>
    <w:lvl w:ilvl="4" w:tplc="3E7A29B8">
      <w:start w:val="1"/>
      <w:numFmt w:val="bullet"/>
      <w:lvlText w:val="•"/>
      <w:lvlJc w:val="left"/>
      <w:pPr>
        <w:ind w:left="4475" w:hanging="257"/>
      </w:pPr>
      <w:rPr>
        <w:rFonts w:hint="default"/>
      </w:rPr>
    </w:lvl>
    <w:lvl w:ilvl="5" w:tplc="BC70851A">
      <w:start w:val="1"/>
      <w:numFmt w:val="bullet"/>
      <w:lvlText w:val="•"/>
      <w:lvlJc w:val="left"/>
      <w:pPr>
        <w:ind w:left="5503" w:hanging="257"/>
      </w:pPr>
      <w:rPr>
        <w:rFonts w:hint="default"/>
      </w:rPr>
    </w:lvl>
    <w:lvl w:ilvl="6" w:tplc="BF604C2E">
      <w:start w:val="1"/>
      <w:numFmt w:val="bullet"/>
      <w:lvlText w:val="•"/>
      <w:lvlJc w:val="left"/>
      <w:pPr>
        <w:ind w:left="6531" w:hanging="257"/>
      </w:pPr>
      <w:rPr>
        <w:rFonts w:hint="default"/>
      </w:rPr>
    </w:lvl>
    <w:lvl w:ilvl="7" w:tplc="07D84D60">
      <w:start w:val="1"/>
      <w:numFmt w:val="bullet"/>
      <w:lvlText w:val="•"/>
      <w:lvlJc w:val="left"/>
      <w:pPr>
        <w:ind w:left="7559" w:hanging="257"/>
      </w:pPr>
      <w:rPr>
        <w:rFonts w:hint="default"/>
      </w:rPr>
    </w:lvl>
    <w:lvl w:ilvl="8" w:tplc="BCDCB486">
      <w:start w:val="1"/>
      <w:numFmt w:val="bullet"/>
      <w:lvlText w:val="•"/>
      <w:lvlJc w:val="left"/>
      <w:pPr>
        <w:ind w:left="8588" w:hanging="257"/>
      </w:pPr>
      <w:rPr>
        <w:rFonts w:hint="default"/>
      </w:rPr>
    </w:lvl>
  </w:abstractNum>
  <w:abstractNum w:abstractNumId="7" w15:restartNumberingAfterBreak="0">
    <w:nsid w:val="3D5A5747"/>
    <w:multiLevelType w:val="hybridMultilevel"/>
    <w:tmpl w:val="08389AC2"/>
    <w:lvl w:ilvl="0" w:tplc="69BEFAD0">
      <w:start w:val="1"/>
      <w:numFmt w:val="bullet"/>
      <w:lvlText w:val=""/>
      <w:lvlPicBulletId w:val="0"/>
      <w:lvlJc w:val="left"/>
      <w:pPr>
        <w:tabs>
          <w:tab w:val="num" w:pos="720"/>
        </w:tabs>
        <w:ind w:left="720" w:hanging="360"/>
      </w:pPr>
      <w:rPr>
        <w:rFonts w:ascii="Symbol" w:hAnsi="Symbol" w:hint="default"/>
        <w:color w:val="auto"/>
        <w:sz w:val="20"/>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097B79"/>
    <w:multiLevelType w:val="hybridMultilevel"/>
    <w:tmpl w:val="3CC013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A1106"/>
    <w:multiLevelType w:val="hybridMultilevel"/>
    <w:tmpl w:val="6DE2D80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FFD7128"/>
    <w:multiLevelType w:val="hybridMultilevel"/>
    <w:tmpl w:val="1472A5B8"/>
    <w:lvl w:ilvl="0" w:tplc="13BC74B0">
      <w:start w:val="1"/>
      <w:numFmt w:val="decimal"/>
      <w:lvlText w:val="%1."/>
      <w:lvlJc w:val="left"/>
      <w:pPr>
        <w:ind w:left="1287" w:hanging="272"/>
      </w:pPr>
      <w:rPr>
        <w:rFonts w:ascii="Times New Roman" w:eastAsia="Times New Roman" w:hAnsi="Times New Roman" w:hint="default"/>
        <w:w w:val="103"/>
        <w:sz w:val="22"/>
        <w:szCs w:val="22"/>
      </w:rPr>
    </w:lvl>
    <w:lvl w:ilvl="1" w:tplc="3A10C8C0">
      <w:start w:val="1"/>
      <w:numFmt w:val="bullet"/>
      <w:lvlText w:val="•"/>
      <w:lvlJc w:val="left"/>
      <w:pPr>
        <w:ind w:left="2277" w:hanging="272"/>
      </w:pPr>
      <w:rPr>
        <w:rFonts w:hint="default"/>
      </w:rPr>
    </w:lvl>
    <w:lvl w:ilvl="2" w:tplc="1F021642">
      <w:start w:val="1"/>
      <w:numFmt w:val="bullet"/>
      <w:lvlText w:val="•"/>
      <w:lvlJc w:val="left"/>
      <w:pPr>
        <w:ind w:left="3267" w:hanging="272"/>
      </w:pPr>
      <w:rPr>
        <w:rFonts w:hint="default"/>
      </w:rPr>
    </w:lvl>
    <w:lvl w:ilvl="3" w:tplc="5864675C">
      <w:start w:val="1"/>
      <w:numFmt w:val="bullet"/>
      <w:lvlText w:val="•"/>
      <w:lvlJc w:val="left"/>
      <w:pPr>
        <w:ind w:left="4256" w:hanging="272"/>
      </w:pPr>
      <w:rPr>
        <w:rFonts w:hint="default"/>
      </w:rPr>
    </w:lvl>
    <w:lvl w:ilvl="4" w:tplc="C8667114">
      <w:start w:val="1"/>
      <w:numFmt w:val="bullet"/>
      <w:lvlText w:val="•"/>
      <w:lvlJc w:val="left"/>
      <w:pPr>
        <w:ind w:left="5246" w:hanging="272"/>
      </w:pPr>
      <w:rPr>
        <w:rFonts w:hint="default"/>
      </w:rPr>
    </w:lvl>
    <w:lvl w:ilvl="5" w:tplc="69E4B46A">
      <w:start w:val="1"/>
      <w:numFmt w:val="bullet"/>
      <w:lvlText w:val="•"/>
      <w:lvlJc w:val="left"/>
      <w:pPr>
        <w:ind w:left="6236" w:hanging="272"/>
      </w:pPr>
      <w:rPr>
        <w:rFonts w:hint="default"/>
      </w:rPr>
    </w:lvl>
    <w:lvl w:ilvl="6" w:tplc="F9CA46C4">
      <w:start w:val="1"/>
      <w:numFmt w:val="bullet"/>
      <w:lvlText w:val="•"/>
      <w:lvlJc w:val="left"/>
      <w:pPr>
        <w:ind w:left="7225" w:hanging="272"/>
      </w:pPr>
      <w:rPr>
        <w:rFonts w:hint="default"/>
      </w:rPr>
    </w:lvl>
    <w:lvl w:ilvl="7" w:tplc="37029570">
      <w:start w:val="1"/>
      <w:numFmt w:val="bullet"/>
      <w:lvlText w:val="•"/>
      <w:lvlJc w:val="left"/>
      <w:pPr>
        <w:ind w:left="8215" w:hanging="272"/>
      </w:pPr>
      <w:rPr>
        <w:rFonts w:hint="default"/>
      </w:rPr>
    </w:lvl>
    <w:lvl w:ilvl="8" w:tplc="55147C7C">
      <w:start w:val="1"/>
      <w:numFmt w:val="bullet"/>
      <w:lvlText w:val="•"/>
      <w:lvlJc w:val="left"/>
      <w:pPr>
        <w:ind w:left="9205" w:hanging="272"/>
      </w:pPr>
      <w:rPr>
        <w:rFonts w:hint="default"/>
      </w:rPr>
    </w:lvl>
  </w:abstractNum>
  <w:num w:numId="1">
    <w:abstractNumId w:val="6"/>
  </w:num>
  <w:num w:numId="2">
    <w:abstractNumId w:val="10"/>
  </w:num>
  <w:num w:numId="3">
    <w:abstractNumId w:val="2"/>
  </w:num>
  <w:num w:numId="4">
    <w:abstractNumId w:val="3"/>
  </w:num>
  <w:num w:numId="5">
    <w:abstractNumId w:val="0"/>
  </w:num>
  <w:num w:numId="6">
    <w:abstractNumId w:val="8"/>
  </w:num>
  <w:num w:numId="7">
    <w:abstractNumId w:val="7"/>
  </w:num>
  <w:num w:numId="8">
    <w:abstractNumId w:val="5"/>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trackRevision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85"/>
    <w:rsid w:val="00003947"/>
    <w:rsid w:val="00005FCA"/>
    <w:rsid w:val="00025AE4"/>
    <w:rsid w:val="00051ADF"/>
    <w:rsid w:val="00063E42"/>
    <w:rsid w:val="000666FF"/>
    <w:rsid w:val="00080A18"/>
    <w:rsid w:val="0009355F"/>
    <w:rsid w:val="000A4F57"/>
    <w:rsid w:val="000A7C82"/>
    <w:rsid w:val="000B15D1"/>
    <w:rsid w:val="000D6677"/>
    <w:rsid w:val="000E2494"/>
    <w:rsid w:val="000F3031"/>
    <w:rsid w:val="001049C6"/>
    <w:rsid w:val="00115679"/>
    <w:rsid w:val="00156D07"/>
    <w:rsid w:val="001955EC"/>
    <w:rsid w:val="00196087"/>
    <w:rsid w:val="001B3093"/>
    <w:rsid w:val="001C6975"/>
    <w:rsid w:val="001D1088"/>
    <w:rsid w:val="0023098A"/>
    <w:rsid w:val="00235E6C"/>
    <w:rsid w:val="00242E50"/>
    <w:rsid w:val="00251B7C"/>
    <w:rsid w:val="00252769"/>
    <w:rsid w:val="0025645D"/>
    <w:rsid w:val="00261603"/>
    <w:rsid w:val="00275703"/>
    <w:rsid w:val="00285069"/>
    <w:rsid w:val="0029046F"/>
    <w:rsid w:val="002B6848"/>
    <w:rsid w:val="002D2672"/>
    <w:rsid w:val="002E735C"/>
    <w:rsid w:val="002F13DB"/>
    <w:rsid w:val="00303C92"/>
    <w:rsid w:val="00306411"/>
    <w:rsid w:val="00310A9B"/>
    <w:rsid w:val="003223F0"/>
    <w:rsid w:val="003364FB"/>
    <w:rsid w:val="003657A2"/>
    <w:rsid w:val="0036738B"/>
    <w:rsid w:val="00372D0E"/>
    <w:rsid w:val="00385B14"/>
    <w:rsid w:val="00393E74"/>
    <w:rsid w:val="00396EF8"/>
    <w:rsid w:val="003A354D"/>
    <w:rsid w:val="003B7076"/>
    <w:rsid w:val="003C3708"/>
    <w:rsid w:val="003D73C6"/>
    <w:rsid w:val="003F6641"/>
    <w:rsid w:val="00416494"/>
    <w:rsid w:val="004237FF"/>
    <w:rsid w:val="004264C0"/>
    <w:rsid w:val="00426FB3"/>
    <w:rsid w:val="004332A5"/>
    <w:rsid w:val="00446F3A"/>
    <w:rsid w:val="00452ED3"/>
    <w:rsid w:val="00461B7B"/>
    <w:rsid w:val="00465FEB"/>
    <w:rsid w:val="00473D14"/>
    <w:rsid w:val="0047408E"/>
    <w:rsid w:val="004A16BE"/>
    <w:rsid w:val="004E7354"/>
    <w:rsid w:val="004F6329"/>
    <w:rsid w:val="004F639C"/>
    <w:rsid w:val="005035A0"/>
    <w:rsid w:val="00510BE8"/>
    <w:rsid w:val="00522922"/>
    <w:rsid w:val="0053520D"/>
    <w:rsid w:val="005572F7"/>
    <w:rsid w:val="00580B76"/>
    <w:rsid w:val="005A2150"/>
    <w:rsid w:val="005A7119"/>
    <w:rsid w:val="005D455F"/>
    <w:rsid w:val="00605EDB"/>
    <w:rsid w:val="006147B0"/>
    <w:rsid w:val="00632572"/>
    <w:rsid w:val="00632939"/>
    <w:rsid w:val="00643D54"/>
    <w:rsid w:val="00653E5A"/>
    <w:rsid w:val="00675167"/>
    <w:rsid w:val="006756D2"/>
    <w:rsid w:val="00676796"/>
    <w:rsid w:val="00682612"/>
    <w:rsid w:val="00687D89"/>
    <w:rsid w:val="006A0CF3"/>
    <w:rsid w:val="006B3A19"/>
    <w:rsid w:val="006B46D9"/>
    <w:rsid w:val="006C4031"/>
    <w:rsid w:val="006D3593"/>
    <w:rsid w:val="006E0CFC"/>
    <w:rsid w:val="006F13FD"/>
    <w:rsid w:val="00726F7E"/>
    <w:rsid w:val="00752A7B"/>
    <w:rsid w:val="0075738C"/>
    <w:rsid w:val="007A58B0"/>
    <w:rsid w:val="007C043E"/>
    <w:rsid w:val="007C1E84"/>
    <w:rsid w:val="007D00BF"/>
    <w:rsid w:val="007E0F1A"/>
    <w:rsid w:val="007E561E"/>
    <w:rsid w:val="007F57C4"/>
    <w:rsid w:val="00803633"/>
    <w:rsid w:val="00823F5B"/>
    <w:rsid w:val="008440A6"/>
    <w:rsid w:val="008600BD"/>
    <w:rsid w:val="00861B3F"/>
    <w:rsid w:val="00893BD5"/>
    <w:rsid w:val="008A3992"/>
    <w:rsid w:val="008D64D3"/>
    <w:rsid w:val="00900FBB"/>
    <w:rsid w:val="00913691"/>
    <w:rsid w:val="00917AA6"/>
    <w:rsid w:val="00947834"/>
    <w:rsid w:val="00956331"/>
    <w:rsid w:val="00970BC5"/>
    <w:rsid w:val="00973A22"/>
    <w:rsid w:val="009B5192"/>
    <w:rsid w:val="009D3285"/>
    <w:rsid w:val="009E5DE1"/>
    <w:rsid w:val="009F14BD"/>
    <w:rsid w:val="009F7FA6"/>
    <w:rsid w:val="00A11632"/>
    <w:rsid w:val="00A15A56"/>
    <w:rsid w:val="00A2245D"/>
    <w:rsid w:val="00A366A0"/>
    <w:rsid w:val="00A452EA"/>
    <w:rsid w:val="00A45AFC"/>
    <w:rsid w:val="00A475A8"/>
    <w:rsid w:val="00A50146"/>
    <w:rsid w:val="00A57EF1"/>
    <w:rsid w:val="00A64E16"/>
    <w:rsid w:val="00A828CD"/>
    <w:rsid w:val="00A85DB8"/>
    <w:rsid w:val="00A87D15"/>
    <w:rsid w:val="00A92B54"/>
    <w:rsid w:val="00AA70DF"/>
    <w:rsid w:val="00AB0AE3"/>
    <w:rsid w:val="00AB62F0"/>
    <w:rsid w:val="00AC7C9D"/>
    <w:rsid w:val="00AD4B00"/>
    <w:rsid w:val="00AD5B6F"/>
    <w:rsid w:val="00B0222A"/>
    <w:rsid w:val="00B075B0"/>
    <w:rsid w:val="00B145B8"/>
    <w:rsid w:val="00B17081"/>
    <w:rsid w:val="00B54106"/>
    <w:rsid w:val="00B8157A"/>
    <w:rsid w:val="00B82AF2"/>
    <w:rsid w:val="00B82B72"/>
    <w:rsid w:val="00B972CB"/>
    <w:rsid w:val="00BD7122"/>
    <w:rsid w:val="00BE5E23"/>
    <w:rsid w:val="00BF277D"/>
    <w:rsid w:val="00BF4A38"/>
    <w:rsid w:val="00BF4F97"/>
    <w:rsid w:val="00BF5F17"/>
    <w:rsid w:val="00C027D3"/>
    <w:rsid w:val="00C050CE"/>
    <w:rsid w:val="00C5585A"/>
    <w:rsid w:val="00C706BB"/>
    <w:rsid w:val="00C717F8"/>
    <w:rsid w:val="00C72EF4"/>
    <w:rsid w:val="00C86D89"/>
    <w:rsid w:val="00CA13B8"/>
    <w:rsid w:val="00CA635D"/>
    <w:rsid w:val="00CC3847"/>
    <w:rsid w:val="00CC6157"/>
    <w:rsid w:val="00D04CC1"/>
    <w:rsid w:val="00D07CA6"/>
    <w:rsid w:val="00D12487"/>
    <w:rsid w:val="00D366DE"/>
    <w:rsid w:val="00D43745"/>
    <w:rsid w:val="00D473AF"/>
    <w:rsid w:val="00D82E09"/>
    <w:rsid w:val="00D85A51"/>
    <w:rsid w:val="00D86501"/>
    <w:rsid w:val="00DC2414"/>
    <w:rsid w:val="00DE3F7A"/>
    <w:rsid w:val="00DF64D0"/>
    <w:rsid w:val="00DF6A06"/>
    <w:rsid w:val="00E0025C"/>
    <w:rsid w:val="00E12ECC"/>
    <w:rsid w:val="00E32953"/>
    <w:rsid w:val="00E33B0D"/>
    <w:rsid w:val="00E43B62"/>
    <w:rsid w:val="00E45ACD"/>
    <w:rsid w:val="00E61FD0"/>
    <w:rsid w:val="00E64A87"/>
    <w:rsid w:val="00E826E7"/>
    <w:rsid w:val="00E943E1"/>
    <w:rsid w:val="00EB1BDF"/>
    <w:rsid w:val="00EB56A0"/>
    <w:rsid w:val="00ED6111"/>
    <w:rsid w:val="00ED642F"/>
    <w:rsid w:val="00EE6794"/>
    <w:rsid w:val="00EF1482"/>
    <w:rsid w:val="00EF1C78"/>
    <w:rsid w:val="00EF7025"/>
    <w:rsid w:val="00F113DE"/>
    <w:rsid w:val="00F337D6"/>
    <w:rsid w:val="00F33C76"/>
    <w:rsid w:val="00F35C6E"/>
    <w:rsid w:val="00F50D76"/>
    <w:rsid w:val="00F53F0C"/>
    <w:rsid w:val="00F802E7"/>
    <w:rsid w:val="00F96D57"/>
    <w:rsid w:val="00FA525E"/>
    <w:rsid w:val="00FB5B81"/>
    <w:rsid w:val="00FC26D0"/>
    <w:rsid w:val="00FD1A15"/>
    <w:rsid w:val="00FE1439"/>
    <w:rsid w:val="00FF4A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D89E"/>
  <w15:docId w15:val="{048D2108-0B59-4A9A-B32A-1771750CD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style>
  <w:style w:type="paragraph" w:styleId="Kop1">
    <w:name w:val="heading 1"/>
    <w:basedOn w:val="Standaard"/>
    <w:uiPriority w:val="1"/>
    <w:qFormat/>
    <w:pPr>
      <w:ind w:left="105"/>
      <w:outlineLvl w:val="0"/>
    </w:pPr>
    <w:rPr>
      <w:rFonts w:ascii="Times New Roman" w:eastAsia="Times New Roman" w:hAnsi="Times New Roman"/>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spacing w:before="96"/>
      <w:ind w:left="105"/>
    </w:pPr>
    <w:rPr>
      <w:rFonts w:ascii="Times New Roman" w:eastAsia="Times New Roman" w:hAnsi="Times New Roman"/>
      <w:sz w:val="16"/>
      <w:szCs w:val="16"/>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character" w:styleId="Verwijzingopmerking">
    <w:name w:val="annotation reference"/>
    <w:basedOn w:val="Standaardalinea-lettertype"/>
    <w:unhideWhenUsed/>
    <w:rsid w:val="000A7C82"/>
    <w:rPr>
      <w:sz w:val="16"/>
      <w:szCs w:val="16"/>
    </w:rPr>
  </w:style>
  <w:style w:type="paragraph" w:styleId="Tekstopmerking">
    <w:name w:val="annotation text"/>
    <w:basedOn w:val="Standaard"/>
    <w:link w:val="TekstopmerkingChar"/>
    <w:unhideWhenUsed/>
    <w:rsid w:val="000A7C82"/>
    <w:rPr>
      <w:sz w:val="20"/>
      <w:szCs w:val="20"/>
    </w:rPr>
  </w:style>
  <w:style w:type="character" w:customStyle="1" w:styleId="TekstopmerkingChar">
    <w:name w:val="Tekst opmerking Char"/>
    <w:basedOn w:val="Standaardalinea-lettertype"/>
    <w:link w:val="Tekstopmerking"/>
    <w:rsid w:val="000A7C82"/>
    <w:rPr>
      <w:sz w:val="20"/>
      <w:szCs w:val="20"/>
    </w:rPr>
  </w:style>
  <w:style w:type="paragraph" w:styleId="Onderwerpvanopmerking">
    <w:name w:val="annotation subject"/>
    <w:basedOn w:val="Tekstopmerking"/>
    <w:next w:val="Tekstopmerking"/>
    <w:link w:val="OnderwerpvanopmerkingChar"/>
    <w:uiPriority w:val="99"/>
    <w:semiHidden/>
    <w:unhideWhenUsed/>
    <w:rsid w:val="000A7C82"/>
    <w:rPr>
      <w:b/>
      <w:bCs/>
    </w:rPr>
  </w:style>
  <w:style w:type="character" w:customStyle="1" w:styleId="OnderwerpvanopmerkingChar">
    <w:name w:val="Onderwerp van opmerking Char"/>
    <w:basedOn w:val="TekstopmerkingChar"/>
    <w:link w:val="Onderwerpvanopmerking"/>
    <w:uiPriority w:val="99"/>
    <w:semiHidden/>
    <w:rsid w:val="000A7C82"/>
    <w:rPr>
      <w:b/>
      <w:bCs/>
      <w:sz w:val="20"/>
      <w:szCs w:val="20"/>
    </w:rPr>
  </w:style>
  <w:style w:type="paragraph" w:styleId="Ballontekst">
    <w:name w:val="Balloon Text"/>
    <w:basedOn w:val="Standaard"/>
    <w:link w:val="BallontekstChar"/>
    <w:uiPriority w:val="99"/>
    <w:semiHidden/>
    <w:unhideWhenUsed/>
    <w:rsid w:val="000A7C8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A7C82"/>
    <w:rPr>
      <w:rFonts w:ascii="Segoe UI" w:hAnsi="Segoe UI" w:cs="Segoe UI"/>
      <w:sz w:val="18"/>
      <w:szCs w:val="18"/>
    </w:rPr>
  </w:style>
  <w:style w:type="paragraph" w:styleId="Voetnoottekst">
    <w:name w:val="footnote text"/>
    <w:aliases w:val="Footnote Text Char1,Footnote Text Char2,Footnote Text Char11,Footnote Text Char3,Footnote Text Char4,Footnote Text Char5,Footnote Text Char6,Footnote Text Char12,Footnote Text Char21,Footnote Text Char31,Footnote New,C,ARM footnote Text"/>
    <w:basedOn w:val="Standaard"/>
    <w:link w:val="VoetnoottekstChar"/>
    <w:rsid w:val="007A58B0"/>
    <w:pPr>
      <w:widowControl/>
      <w:spacing w:line="260" w:lineRule="atLeast"/>
    </w:pPr>
    <w:rPr>
      <w:rFonts w:ascii="Times New Roman" w:eastAsia="Times New Roman" w:hAnsi="Times New Roman" w:cs="Times New Roman"/>
      <w:sz w:val="18"/>
      <w:szCs w:val="20"/>
    </w:rPr>
  </w:style>
  <w:style w:type="character" w:customStyle="1" w:styleId="VoetnoottekstChar">
    <w:name w:val="Voetnoottekst Char"/>
    <w:aliases w:val="Footnote Text Char1 Char,Footnote Text Char2 Char,Footnote Text Char11 Char,Footnote Text Char3 Char,Footnote Text Char4 Char,Footnote Text Char5 Char,Footnote Text Char6 Char,Footnote Text Char12 Char,Footnote Text Char21 Char,C Char"/>
    <w:basedOn w:val="Standaardalinea-lettertype"/>
    <w:link w:val="Voetnoottekst"/>
    <w:rsid w:val="007A58B0"/>
    <w:rPr>
      <w:rFonts w:ascii="Times New Roman" w:eastAsia="Times New Roman" w:hAnsi="Times New Roman" w:cs="Times New Roman"/>
      <w:sz w:val="18"/>
      <w:szCs w:val="20"/>
      <w:lang w:val="fr-BE"/>
    </w:rPr>
  </w:style>
  <w:style w:type="character" w:styleId="Voetnootmarkering">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7A58B0"/>
    <w:rPr>
      <w:vertAlign w:val="superscript"/>
    </w:rPr>
  </w:style>
  <w:style w:type="paragraph" w:styleId="Handtekening">
    <w:name w:val="Signature"/>
    <w:basedOn w:val="Standaard"/>
    <w:link w:val="HandtekeningChar"/>
    <w:rsid w:val="009D3285"/>
    <w:pPr>
      <w:widowControl/>
    </w:pPr>
    <w:rPr>
      <w:rFonts w:ascii="Times New Roman" w:eastAsia="Times New Roman" w:hAnsi="Times New Roman" w:cs="Times New Roman"/>
      <w:szCs w:val="20"/>
    </w:rPr>
  </w:style>
  <w:style w:type="character" w:customStyle="1" w:styleId="HandtekeningChar">
    <w:name w:val="Handtekening Char"/>
    <w:basedOn w:val="Standaardalinea-lettertype"/>
    <w:link w:val="Handtekening"/>
    <w:rsid w:val="009D3285"/>
    <w:rPr>
      <w:rFonts w:ascii="Times New Roman" w:eastAsia="Times New Roman" w:hAnsi="Times New Roman" w:cs="Times New Roman"/>
      <w:szCs w:val="20"/>
      <w:lang w:val="fr-BE"/>
    </w:rPr>
  </w:style>
  <w:style w:type="paragraph" w:styleId="Koptekst">
    <w:name w:val="header"/>
    <w:basedOn w:val="Standaard"/>
    <w:link w:val="KoptekstChar"/>
    <w:uiPriority w:val="99"/>
    <w:unhideWhenUsed/>
    <w:rsid w:val="00F50D76"/>
    <w:pPr>
      <w:tabs>
        <w:tab w:val="center" w:pos="4536"/>
        <w:tab w:val="right" w:pos="9072"/>
      </w:tabs>
    </w:pPr>
  </w:style>
  <w:style w:type="character" w:customStyle="1" w:styleId="KoptekstChar">
    <w:name w:val="Koptekst Char"/>
    <w:basedOn w:val="Standaardalinea-lettertype"/>
    <w:link w:val="Koptekst"/>
    <w:uiPriority w:val="99"/>
    <w:rsid w:val="00F50D76"/>
  </w:style>
  <w:style w:type="paragraph" w:styleId="Voettekst">
    <w:name w:val="footer"/>
    <w:basedOn w:val="Standaard"/>
    <w:link w:val="VoettekstChar"/>
    <w:uiPriority w:val="99"/>
    <w:unhideWhenUsed/>
    <w:rsid w:val="00F50D76"/>
    <w:pPr>
      <w:tabs>
        <w:tab w:val="center" w:pos="4536"/>
        <w:tab w:val="right" w:pos="9072"/>
      </w:tabs>
    </w:pPr>
  </w:style>
  <w:style w:type="character" w:customStyle="1" w:styleId="VoettekstChar">
    <w:name w:val="Voettekst Char"/>
    <w:basedOn w:val="Standaardalinea-lettertype"/>
    <w:link w:val="Voettekst"/>
    <w:uiPriority w:val="99"/>
    <w:rsid w:val="00F50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fbeelding xmlns="86d8d313-957f-44b4-bb66-f96f0d40e90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4" ma:contentTypeDescription="Crée un document." ma:contentTypeScope="" ma:versionID="5e6b327f0541ed879fead9cc0ac2a6ef">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b64135db72fba2469c78bb70f417f37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75B83-0C30-4D54-94C6-22E9DED99831}">
  <ds:schemaRefs>
    <ds:schemaRef ds:uri="http://schemas.microsoft.com/sharepoint/v3/contenttype/forms"/>
  </ds:schemaRefs>
</ds:datastoreItem>
</file>

<file path=customXml/itemProps2.xml><?xml version="1.0" encoding="utf-8"?>
<ds:datastoreItem xmlns:ds="http://schemas.openxmlformats.org/officeDocument/2006/customXml" ds:itemID="{EBAD54B7-E29E-4E4E-B881-F2FCEC636CB0}">
  <ds:schemaRefs>
    <ds:schemaRef ds:uri="http://schemas.microsoft.com/office/2006/metadata/properties"/>
    <ds:schemaRef ds:uri="86d8d313-957f-44b4-bb66-f96f0d40e904"/>
  </ds:schemaRefs>
</ds:datastoreItem>
</file>

<file path=customXml/itemProps3.xml><?xml version="1.0" encoding="utf-8"?>
<ds:datastoreItem xmlns:ds="http://schemas.openxmlformats.org/officeDocument/2006/customXml" ds:itemID="{CB9C6D71-B3A6-47C6-9928-17858ABB4F43}">
  <ds:schemaRefs>
    <ds:schemaRef ds:uri="http://schemas.openxmlformats.org/officeDocument/2006/bibliography"/>
  </ds:schemaRefs>
</ds:datastoreItem>
</file>

<file path=customXml/itemProps4.xml><?xml version="1.0" encoding="utf-8"?>
<ds:datastoreItem xmlns:ds="http://schemas.openxmlformats.org/officeDocument/2006/customXml" ds:itemID="{10D8D45B-EB2D-4F72-B2DE-986CE6DCC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1799</Words>
  <Characters>9899</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Microsoft Word - Compare Result 1</vt:lpstr>
      <vt:lpstr>Microsoft Word - Compare Result 1</vt:lpstr>
    </vt:vector>
  </TitlesOfParts>
  <Company>KPMG</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Compare Result 1</dc:title>
  <dc:creator>jbriers</dc:creator>
  <cp:lastModifiedBy>Laplasse Jan</cp:lastModifiedBy>
  <cp:revision>2</cp:revision>
  <cp:lastPrinted>2019-03-21T17:15:00Z</cp:lastPrinted>
  <dcterms:created xsi:type="dcterms:W3CDTF">2021-05-31T12:12:00Z</dcterms:created>
  <dcterms:modified xsi:type="dcterms:W3CDTF">2021-05-31T12:12:00Z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LastSaved">
    <vt:filetime>2016-05-04T00:00:00Z</vt:filetime>
  </property>
  <property fmtid="{D5CDD505-2E9C-101B-9397-08002B2CF9AE}" pid="4" name="ContentTypeId">
    <vt:lpwstr>0x010100CEC57FC6C9899045BC1F6DFCE8170996</vt:lpwstr>
  </property>
</Properties>
</file>